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292F" w:rsidRDefault="000A62F1" w:rsidP="00515EB8">
      <w:pPr>
        <w:spacing w:after="0" w:line="240" w:lineRule="auto"/>
        <w:jc w:val="center"/>
        <w:rPr>
          <w:rFonts w:ascii="Gentium" w:hAnsi="Gentium"/>
          <w:smallCaps/>
          <w:sz w:val="24"/>
          <w:szCs w:val="24"/>
        </w:rPr>
      </w:pPr>
      <w:r>
        <w:rPr>
          <w:rFonts w:ascii="Gentium" w:hAnsi="Gentium"/>
          <w:smallCaps/>
          <w:sz w:val="24"/>
          <w:szCs w:val="24"/>
        </w:rPr>
        <w:t>“</w:t>
      </w:r>
      <w:r w:rsidR="00515EB8" w:rsidRPr="00515EB8">
        <w:rPr>
          <w:rFonts w:ascii="Gentium" w:hAnsi="Gentium"/>
          <w:smallCaps/>
          <w:sz w:val="24"/>
          <w:szCs w:val="24"/>
        </w:rPr>
        <w:t xml:space="preserve">On the </w:t>
      </w:r>
      <w:r w:rsidR="00515EB8">
        <w:rPr>
          <w:rFonts w:ascii="Gentium" w:hAnsi="Gentium"/>
          <w:smallCaps/>
          <w:sz w:val="24"/>
          <w:szCs w:val="24"/>
        </w:rPr>
        <w:t>F</w:t>
      </w:r>
      <w:r w:rsidR="00515EB8" w:rsidRPr="00515EB8">
        <w:rPr>
          <w:rFonts w:ascii="Gentium" w:hAnsi="Gentium"/>
          <w:smallCaps/>
          <w:sz w:val="24"/>
          <w:szCs w:val="24"/>
        </w:rPr>
        <w:t>orce</w:t>
      </w:r>
      <w:r w:rsidR="00515EB8">
        <w:rPr>
          <w:rFonts w:ascii="Gentium" w:hAnsi="Gentium"/>
          <w:smallCaps/>
          <w:sz w:val="24"/>
          <w:szCs w:val="24"/>
        </w:rPr>
        <w:t xml:space="preserve"> of the Greek Prepositions in Compound Verbs, as employed in the New Testament</w:t>
      </w:r>
      <w:r>
        <w:rPr>
          <w:rFonts w:ascii="Gentium" w:hAnsi="Gentium"/>
          <w:smallCaps/>
          <w:sz w:val="24"/>
          <w:szCs w:val="24"/>
        </w:rPr>
        <w:t>”</w:t>
      </w:r>
      <w:r>
        <w:rPr>
          <w:rStyle w:val="FootnoteReference"/>
          <w:rFonts w:ascii="Gentium" w:hAnsi="Gentium"/>
          <w:smallCaps/>
          <w:sz w:val="24"/>
          <w:szCs w:val="24"/>
        </w:rPr>
        <w:footnoteReference w:id="1"/>
      </w:r>
    </w:p>
    <w:p w:rsidR="00515EB8" w:rsidRDefault="00515EB8" w:rsidP="00515EB8">
      <w:pPr>
        <w:spacing w:after="0" w:line="240" w:lineRule="auto"/>
        <w:jc w:val="center"/>
        <w:rPr>
          <w:rFonts w:ascii="Gentium" w:hAnsi="Gentium"/>
          <w:sz w:val="24"/>
          <w:szCs w:val="24"/>
        </w:rPr>
      </w:pPr>
      <w:r>
        <w:rPr>
          <w:rFonts w:ascii="Gentium" w:hAnsi="Gentium"/>
          <w:sz w:val="24"/>
          <w:szCs w:val="24"/>
        </w:rPr>
        <w:t>By J. A. H. Tittmann</w:t>
      </w:r>
    </w:p>
    <w:p w:rsidR="00515EB8" w:rsidRPr="00515EB8" w:rsidRDefault="00515EB8" w:rsidP="00515EB8">
      <w:pPr>
        <w:spacing w:after="0" w:line="240" w:lineRule="auto"/>
        <w:jc w:val="center"/>
        <w:rPr>
          <w:rFonts w:ascii="Gentium" w:hAnsi="Gentium"/>
          <w:sz w:val="24"/>
          <w:szCs w:val="24"/>
        </w:rPr>
      </w:pPr>
      <w:r>
        <w:rPr>
          <w:rFonts w:ascii="Gentium" w:hAnsi="Gentium"/>
          <w:sz w:val="24"/>
          <w:szCs w:val="24"/>
        </w:rPr>
        <w:t xml:space="preserve">(Translated from Latin by </w:t>
      </w:r>
      <w:r w:rsidR="000A62F1">
        <w:rPr>
          <w:rFonts w:ascii="Gentium" w:hAnsi="Gentium"/>
          <w:sz w:val="24"/>
          <w:szCs w:val="24"/>
        </w:rPr>
        <w:t>Edward Robinson)</w:t>
      </w:r>
    </w:p>
    <w:p w:rsidR="00515EB8" w:rsidRDefault="00515EB8" w:rsidP="00515EB8">
      <w:pPr>
        <w:spacing w:line="240" w:lineRule="auto"/>
        <w:jc w:val="center"/>
        <w:rPr>
          <w:rFonts w:ascii="Gentium" w:hAnsi="Gentium"/>
          <w:smallCaps/>
          <w:sz w:val="24"/>
          <w:szCs w:val="24"/>
        </w:rPr>
      </w:pPr>
    </w:p>
    <w:p w:rsidR="006F3EE9" w:rsidRPr="006F3EE9" w:rsidRDefault="006F3EE9" w:rsidP="006F3EE9">
      <w:pPr>
        <w:spacing w:after="0" w:line="240" w:lineRule="auto"/>
        <w:rPr>
          <w:rFonts w:ascii="Gentium" w:hAnsi="Gentium"/>
          <w:b/>
          <w:bCs/>
          <w:sz w:val="24"/>
          <w:szCs w:val="24"/>
        </w:rPr>
      </w:pPr>
      <w:r w:rsidRPr="006F3EE9">
        <w:rPr>
          <w:rFonts w:ascii="Gentium" w:hAnsi="Gentium"/>
          <w:b/>
          <w:bCs/>
          <w:sz w:val="24"/>
          <w:szCs w:val="24"/>
        </w:rPr>
        <w:t>The Tension</w:t>
      </w:r>
    </w:p>
    <w:p w:rsidR="00121080" w:rsidRDefault="00121080" w:rsidP="006F3EE9">
      <w:pPr>
        <w:spacing w:after="0" w:line="240" w:lineRule="auto"/>
        <w:rPr>
          <w:rFonts w:ascii="Gentium" w:hAnsi="Gentium"/>
          <w:sz w:val="24"/>
          <w:szCs w:val="24"/>
        </w:rPr>
      </w:pPr>
    </w:p>
    <w:p w:rsidR="006F3EE9" w:rsidRDefault="006F3EE9" w:rsidP="00A24EBA">
      <w:pPr>
        <w:spacing w:after="0" w:line="240" w:lineRule="auto"/>
        <w:rPr>
          <w:rFonts w:ascii="Gentium" w:hAnsi="Gentium"/>
          <w:sz w:val="24"/>
          <w:szCs w:val="24"/>
        </w:rPr>
      </w:pPr>
      <w:r>
        <w:rPr>
          <w:rFonts w:ascii="Gentium" w:hAnsi="Gentium"/>
          <w:sz w:val="24"/>
          <w:szCs w:val="24"/>
        </w:rPr>
        <w:t>In the article, Tittmann laments the “negligence and inconsideration” that has been paid to the issue</w:t>
      </w:r>
      <w:r w:rsidR="00B7194A">
        <w:rPr>
          <w:rFonts w:ascii="Gentium" w:hAnsi="Gentium"/>
          <w:sz w:val="24"/>
          <w:szCs w:val="24"/>
        </w:rPr>
        <w:t xml:space="preserve"> of</w:t>
      </w:r>
      <w:r>
        <w:rPr>
          <w:rFonts w:ascii="Gentium" w:hAnsi="Gentium"/>
          <w:sz w:val="24"/>
          <w:szCs w:val="24"/>
        </w:rPr>
        <w:t xml:space="preserve"> prepositions in general (45). </w:t>
      </w:r>
      <w:r w:rsidR="00A56075">
        <w:rPr>
          <w:rFonts w:ascii="Gentium" w:hAnsi="Gentium"/>
          <w:sz w:val="24"/>
          <w:szCs w:val="24"/>
        </w:rPr>
        <w:t>Such i</w:t>
      </w:r>
      <w:r w:rsidR="00D21CA3">
        <w:rPr>
          <w:rFonts w:ascii="Gentium" w:hAnsi="Gentium"/>
          <w:sz w:val="24"/>
          <w:szCs w:val="24"/>
        </w:rPr>
        <w:t>gnorance of the nature and force of preposition</w:t>
      </w:r>
      <w:r w:rsidR="00A56075">
        <w:rPr>
          <w:rFonts w:ascii="Gentium" w:hAnsi="Gentium"/>
          <w:sz w:val="24"/>
          <w:szCs w:val="24"/>
        </w:rPr>
        <w:t>s</w:t>
      </w:r>
      <w:r w:rsidR="00D21CA3">
        <w:rPr>
          <w:rFonts w:ascii="Gentium" w:hAnsi="Gentium"/>
          <w:sz w:val="24"/>
          <w:szCs w:val="24"/>
        </w:rPr>
        <w:t xml:space="preserve"> had led many lexicographers, grammarians and interpreters to label them pleonastic, often with the expression, “</w:t>
      </w:r>
      <w:r w:rsidR="00D21CA3" w:rsidRPr="00D21CA3">
        <w:rPr>
          <w:rFonts w:ascii="Gentium" w:hAnsi="Gentium"/>
          <w:i/>
          <w:iCs/>
          <w:sz w:val="24"/>
          <w:szCs w:val="24"/>
        </w:rPr>
        <w:t xml:space="preserve">haud raro </w:t>
      </w:r>
      <w:r w:rsidR="00D21CA3" w:rsidRPr="005F5DF4">
        <w:rPr>
          <w:rFonts w:ascii="Gentium" w:hAnsi="Gentium"/>
          <w:i/>
          <w:iCs/>
          <w:sz w:val="24"/>
          <w:szCs w:val="24"/>
        </w:rPr>
        <w:t>redundant</w:t>
      </w:r>
      <w:r w:rsidR="00D21CA3">
        <w:rPr>
          <w:rFonts w:ascii="Gentium" w:hAnsi="Gentium"/>
          <w:sz w:val="24"/>
          <w:szCs w:val="24"/>
        </w:rPr>
        <w:t>”</w:t>
      </w:r>
      <w:r w:rsidR="0068297D">
        <w:rPr>
          <w:rFonts w:ascii="Gentium" w:hAnsi="Gentium"/>
          <w:sz w:val="24"/>
          <w:szCs w:val="24"/>
        </w:rPr>
        <w:t xml:space="preserve"> (lit. </w:t>
      </w:r>
      <w:r w:rsidR="00032550">
        <w:rPr>
          <w:rFonts w:ascii="Gentium" w:hAnsi="Gentium"/>
          <w:sz w:val="24"/>
          <w:szCs w:val="24"/>
        </w:rPr>
        <w:t>“</w:t>
      </w:r>
      <w:r w:rsidR="0068297D">
        <w:rPr>
          <w:rFonts w:ascii="Gentium" w:hAnsi="Gentium"/>
          <w:sz w:val="24"/>
          <w:szCs w:val="24"/>
        </w:rPr>
        <w:t>not at all rare redundant”)</w:t>
      </w:r>
      <w:r w:rsidR="00032550">
        <w:rPr>
          <w:rFonts w:ascii="Gentium" w:hAnsi="Gentium"/>
          <w:sz w:val="24"/>
          <w:szCs w:val="24"/>
        </w:rPr>
        <w:t xml:space="preserve"> or in other words, </w:t>
      </w:r>
      <w:r w:rsidR="008011A6">
        <w:rPr>
          <w:rFonts w:ascii="Gentium" w:hAnsi="Gentium"/>
          <w:sz w:val="24"/>
          <w:szCs w:val="24"/>
        </w:rPr>
        <w:t>(my Latin is we</w:t>
      </w:r>
      <w:r w:rsidR="00A24EBA">
        <w:rPr>
          <w:rFonts w:ascii="Gentium" w:hAnsi="Gentium"/>
          <w:sz w:val="24"/>
          <w:szCs w:val="24"/>
        </w:rPr>
        <w:t>a</w:t>
      </w:r>
      <w:r w:rsidR="008011A6">
        <w:rPr>
          <w:rFonts w:ascii="Gentium" w:hAnsi="Gentium"/>
          <w:sz w:val="24"/>
          <w:szCs w:val="24"/>
        </w:rPr>
        <w:t xml:space="preserve">k) </w:t>
      </w:r>
      <w:r w:rsidR="00032550">
        <w:rPr>
          <w:rFonts w:ascii="Gentium" w:hAnsi="Gentium"/>
          <w:sz w:val="24"/>
          <w:szCs w:val="24"/>
        </w:rPr>
        <w:t>“most often redundant.”</w:t>
      </w:r>
      <w:r w:rsidR="00A56075">
        <w:rPr>
          <w:rFonts w:ascii="Gentium" w:hAnsi="Gentium"/>
          <w:sz w:val="24"/>
          <w:szCs w:val="24"/>
        </w:rPr>
        <w:t xml:space="preserve"> He also notes that in regard to “prepositions which are common with verbs” the predominant view (of his time) is “that such prepositions often do not at all affect the force of the verbs; and that therefore the force and meaning of a compound verb differs frequently in no respect from those of the simple verb” (4</w:t>
      </w:r>
      <w:r w:rsidR="00EE2A1B">
        <w:rPr>
          <w:rFonts w:ascii="Gentium" w:hAnsi="Gentium"/>
          <w:sz w:val="24"/>
          <w:szCs w:val="24"/>
        </w:rPr>
        <w:t>5</w:t>
      </w:r>
      <w:r w:rsidR="00A56075">
        <w:rPr>
          <w:rFonts w:ascii="Gentium" w:hAnsi="Gentium"/>
          <w:sz w:val="24"/>
          <w:szCs w:val="24"/>
        </w:rPr>
        <w:t>-4</w:t>
      </w:r>
      <w:r w:rsidR="00EE2A1B">
        <w:rPr>
          <w:rFonts w:ascii="Gentium" w:hAnsi="Gentium"/>
          <w:sz w:val="24"/>
          <w:szCs w:val="24"/>
        </w:rPr>
        <w:t>6</w:t>
      </w:r>
      <w:r w:rsidR="00A56075">
        <w:rPr>
          <w:rFonts w:ascii="Gentium" w:hAnsi="Gentium"/>
          <w:sz w:val="24"/>
          <w:szCs w:val="24"/>
        </w:rPr>
        <w:t xml:space="preserve">). </w:t>
      </w:r>
    </w:p>
    <w:p w:rsidR="00A56075" w:rsidRDefault="00A56075" w:rsidP="00A56075">
      <w:pPr>
        <w:spacing w:after="0" w:line="240" w:lineRule="auto"/>
        <w:rPr>
          <w:rFonts w:ascii="Gentium" w:hAnsi="Gentium"/>
          <w:sz w:val="24"/>
          <w:szCs w:val="24"/>
        </w:rPr>
      </w:pPr>
    </w:p>
    <w:p w:rsidR="00A56075" w:rsidRDefault="001C10EF" w:rsidP="001C10EF">
      <w:pPr>
        <w:spacing w:after="0" w:line="240" w:lineRule="auto"/>
        <w:rPr>
          <w:rFonts w:ascii="Gentium" w:hAnsi="Gentium"/>
          <w:sz w:val="24"/>
          <w:szCs w:val="24"/>
        </w:rPr>
      </w:pPr>
      <w:r>
        <w:rPr>
          <w:rFonts w:ascii="Gentium" w:hAnsi="Gentium"/>
          <w:sz w:val="24"/>
          <w:szCs w:val="24"/>
        </w:rPr>
        <w:t>The lack of a scholarly examination towards prepositions led to an almost schizophrenic attitude with some either denying any emphasis while others seeing too much. He writes,</w:t>
      </w:r>
    </w:p>
    <w:p w:rsidR="001C10EF" w:rsidRDefault="001C10EF" w:rsidP="001C10EF">
      <w:pPr>
        <w:spacing w:after="0" w:line="240" w:lineRule="auto"/>
        <w:rPr>
          <w:rFonts w:ascii="Gentium" w:hAnsi="Gentium"/>
          <w:sz w:val="24"/>
          <w:szCs w:val="24"/>
        </w:rPr>
      </w:pPr>
    </w:p>
    <w:p w:rsidR="001C10EF" w:rsidRDefault="001C10EF" w:rsidP="00EE2A1B">
      <w:pPr>
        <w:spacing w:after="0" w:line="240" w:lineRule="auto"/>
        <w:ind w:left="360"/>
        <w:rPr>
          <w:rFonts w:ascii="Gentium" w:hAnsi="Gentium"/>
          <w:sz w:val="24"/>
          <w:szCs w:val="24"/>
        </w:rPr>
      </w:pPr>
      <w:r>
        <w:rPr>
          <w:rFonts w:ascii="Gentium" w:hAnsi="Gentium"/>
          <w:sz w:val="24"/>
          <w:szCs w:val="24"/>
        </w:rPr>
        <w:t>Thus, in former times when it was the fashion to look for an emphatic meaning in many verbs where there is none, the most false interpretations were not infrequently brought forward on no ground whatever, except a certain supposed emphasis imparted to the compound verb by the accession of the preposition. Hence too it was, that other interpreters were led more decidedly to deny, that the force of the verb was in all cases affected by the preposition; in many cases, at least, they affi</w:t>
      </w:r>
      <w:r w:rsidR="005E7F00">
        <w:rPr>
          <w:rFonts w:ascii="Gentium" w:hAnsi="Gentium"/>
          <w:sz w:val="24"/>
          <w:szCs w:val="24"/>
        </w:rPr>
        <w:t>r</w:t>
      </w:r>
      <w:r>
        <w:rPr>
          <w:rFonts w:ascii="Gentium" w:hAnsi="Gentium"/>
          <w:sz w:val="24"/>
          <w:szCs w:val="24"/>
        </w:rPr>
        <w:t>med</w:t>
      </w:r>
      <w:r w:rsidR="005E7F00">
        <w:rPr>
          <w:rFonts w:ascii="Gentium" w:hAnsi="Gentium"/>
          <w:sz w:val="24"/>
          <w:szCs w:val="24"/>
        </w:rPr>
        <w:t>, no emphasis was to be sought in compound verbs (</w:t>
      </w:r>
      <w:r w:rsidR="00EE2A1B">
        <w:rPr>
          <w:rFonts w:ascii="Gentium" w:hAnsi="Gentium"/>
          <w:sz w:val="24"/>
          <w:szCs w:val="24"/>
        </w:rPr>
        <w:t>46</w:t>
      </w:r>
      <w:r w:rsidR="005E7F00">
        <w:rPr>
          <w:rFonts w:ascii="Gentium" w:hAnsi="Gentium"/>
          <w:sz w:val="24"/>
          <w:szCs w:val="24"/>
        </w:rPr>
        <w:t>).</w:t>
      </w:r>
    </w:p>
    <w:p w:rsidR="006F3EE9" w:rsidRDefault="006F3EE9" w:rsidP="006F3EE9">
      <w:pPr>
        <w:spacing w:after="0" w:line="240" w:lineRule="auto"/>
        <w:rPr>
          <w:rFonts w:ascii="Gentium" w:hAnsi="Gentium"/>
          <w:sz w:val="24"/>
          <w:szCs w:val="24"/>
        </w:rPr>
      </w:pPr>
    </w:p>
    <w:p w:rsidR="00EE2A1B" w:rsidRPr="00EE2A1B" w:rsidRDefault="00EE2A1B" w:rsidP="00B7194A">
      <w:pPr>
        <w:spacing w:after="0" w:line="240" w:lineRule="auto"/>
        <w:rPr>
          <w:rFonts w:ascii="Gentium" w:hAnsi="Gentium"/>
          <w:sz w:val="24"/>
          <w:szCs w:val="24"/>
        </w:rPr>
      </w:pPr>
      <w:r>
        <w:rPr>
          <w:rFonts w:ascii="Gentium" w:hAnsi="Gentium"/>
          <w:sz w:val="24"/>
          <w:szCs w:val="24"/>
        </w:rPr>
        <w:t xml:space="preserve">Tittmann states up front his conviction that prepositions in compound verbs “do not always affect the significance of the simple verbs, and indeed are very frequently redundant” (46).  </w:t>
      </w:r>
      <w:r w:rsidR="00B7194A">
        <w:rPr>
          <w:rFonts w:ascii="Gentium" w:hAnsi="Gentium"/>
          <w:sz w:val="24"/>
          <w:szCs w:val="24"/>
        </w:rPr>
        <w:t>H</w:t>
      </w:r>
      <w:r w:rsidR="00D827EB">
        <w:rPr>
          <w:rFonts w:ascii="Gentium" w:hAnsi="Gentium"/>
          <w:sz w:val="24"/>
          <w:szCs w:val="24"/>
        </w:rPr>
        <w:t>owever in this case</w:t>
      </w:r>
      <w:r w:rsidR="00B7194A">
        <w:rPr>
          <w:rFonts w:ascii="Gentium" w:hAnsi="Gentium"/>
          <w:sz w:val="24"/>
          <w:szCs w:val="24"/>
        </w:rPr>
        <w:t xml:space="preserve"> he</w:t>
      </w:r>
      <w:r w:rsidR="00D827EB">
        <w:rPr>
          <w:rFonts w:ascii="Gentium" w:hAnsi="Gentium"/>
          <w:sz w:val="24"/>
          <w:szCs w:val="24"/>
        </w:rPr>
        <w:t xml:space="preserve"> is no different than others who have opinions regarding the preposition. He writes, “</w:t>
      </w:r>
      <w:r>
        <w:rPr>
          <w:rFonts w:ascii="Gentium" w:hAnsi="Gentium"/>
          <w:sz w:val="24"/>
          <w:szCs w:val="24"/>
        </w:rPr>
        <w:t xml:space="preserve">It </w:t>
      </w:r>
      <w:r w:rsidR="0076586D">
        <w:rPr>
          <w:rFonts w:ascii="Gentium" w:hAnsi="Gentium"/>
          <w:sz w:val="24"/>
          <w:szCs w:val="24"/>
        </w:rPr>
        <w:t>does</w:t>
      </w:r>
      <w:r>
        <w:rPr>
          <w:rFonts w:ascii="Gentium" w:hAnsi="Gentium"/>
          <w:sz w:val="24"/>
          <w:szCs w:val="24"/>
        </w:rPr>
        <w:t xml:space="preserve"> not indeed require much study, to demonstrate by numerous examples, that prepositions in themselves </w:t>
      </w:r>
      <w:r>
        <w:rPr>
          <w:rFonts w:ascii="Gentium" w:hAnsi="Gentium"/>
          <w:i/>
          <w:iCs/>
          <w:sz w:val="24"/>
          <w:szCs w:val="24"/>
        </w:rPr>
        <w:t xml:space="preserve">never </w:t>
      </w:r>
      <w:r w:rsidRPr="00EE2A1B">
        <w:rPr>
          <w:rFonts w:ascii="Gentium" w:hAnsi="Gentium"/>
          <w:sz w:val="24"/>
          <w:szCs w:val="24"/>
        </w:rPr>
        <w:t>produce</w:t>
      </w:r>
      <w:r>
        <w:rPr>
          <w:rFonts w:ascii="Gentium" w:hAnsi="Gentium"/>
          <w:i/>
          <w:iCs/>
          <w:sz w:val="24"/>
          <w:szCs w:val="24"/>
        </w:rPr>
        <w:t xml:space="preserve"> emphasis</w:t>
      </w:r>
      <w:r>
        <w:rPr>
          <w:rFonts w:ascii="Gentium" w:hAnsi="Gentium"/>
          <w:sz w:val="24"/>
          <w:szCs w:val="24"/>
        </w:rPr>
        <w:t xml:space="preserve">, and that they do not always </w:t>
      </w:r>
      <w:r>
        <w:rPr>
          <w:rFonts w:ascii="Gentium" w:hAnsi="Gentium"/>
          <w:i/>
          <w:iCs/>
          <w:sz w:val="24"/>
          <w:szCs w:val="24"/>
        </w:rPr>
        <w:t>change</w:t>
      </w:r>
      <w:r>
        <w:rPr>
          <w:rFonts w:ascii="Gentium" w:hAnsi="Gentium"/>
          <w:sz w:val="24"/>
          <w:szCs w:val="24"/>
        </w:rPr>
        <w:t xml:space="preserve"> the signification of the simple verbs; but it is more difficult to shew precisely what force such prepositions really have, either constantly </w:t>
      </w:r>
      <w:r w:rsidR="00D827EB">
        <w:rPr>
          <w:rFonts w:ascii="Gentium" w:hAnsi="Gentium"/>
          <w:sz w:val="24"/>
          <w:szCs w:val="24"/>
        </w:rPr>
        <w:t xml:space="preserve">or in certain circumstances” (46). In other words, what is needed is a study which yields “certain and fixed laws” regarding prepositions </w:t>
      </w:r>
      <w:r w:rsidR="0076586D">
        <w:rPr>
          <w:rFonts w:ascii="Gentium" w:hAnsi="Gentium"/>
          <w:sz w:val="24"/>
          <w:szCs w:val="24"/>
        </w:rPr>
        <w:t>affixed to</w:t>
      </w:r>
      <w:r w:rsidR="00D827EB">
        <w:rPr>
          <w:rFonts w:ascii="Gentium" w:hAnsi="Gentium"/>
          <w:sz w:val="24"/>
          <w:szCs w:val="24"/>
        </w:rPr>
        <w:t xml:space="preserve"> compound</w:t>
      </w:r>
      <w:r w:rsidR="0076586D">
        <w:rPr>
          <w:rFonts w:ascii="Gentium" w:hAnsi="Gentium"/>
          <w:sz w:val="24"/>
          <w:szCs w:val="24"/>
        </w:rPr>
        <w:t xml:space="preserve"> verbs</w:t>
      </w:r>
      <w:r w:rsidR="00D827EB">
        <w:rPr>
          <w:rFonts w:ascii="Gentium" w:hAnsi="Gentium"/>
          <w:sz w:val="24"/>
          <w:szCs w:val="24"/>
        </w:rPr>
        <w:t xml:space="preserve"> (46). This Tittmann sets out to do. </w:t>
      </w:r>
    </w:p>
    <w:p w:rsidR="00EE2A1B" w:rsidRDefault="00EE2A1B" w:rsidP="006F3EE9">
      <w:pPr>
        <w:spacing w:after="0" w:line="240" w:lineRule="auto"/>
        <w:rPr>
          <w:rFonts w:ascii="Gentium" w:hAnsi="Gentium"/>
          <w:sz w:val="24"/>
          <w:szCs w:val="24"/>
        </w:rPr>
      </w:pPr>
    </w:p>
    <w:p w:rsidR="008830A9" w:rsidRDefault="005E7F00" w:rsidP="006F3EE9">
      <w:pPr>
        <w:spacing w:after="0" w:line="240" w:lineRule="auto"/>
        <w:rPr>
          <w:rFonts w:ascii="Gentium" w:hAnsi="Gentium"/>
          <w:b/>
          <w:bCs/>
          <w:sz w:val="24"/>
          <w:szCs w:val="24"/>
        </w:rPr>
      </w:pPr>
      <w:r w:rsidRPr="005E7F00">
        <w:rPr>
          <w:rFonts w:ascii="Gentium" w:hAnsi="Gentium"/>
          <w:b/>
          <w:bCs/>
          <w:sz w:val="24"/>
          <w:szCs w:val="24"/>
        </w:rPr>
        <w:t>Scope of study</w:t>
      </w:r>
    </w:p>
    <w:p w:rsidR="005E7F00" w:rsidRPr="005E7F00" w:rsidRDefault="005E7F00" w:rsidP="006F3EE9">
      <w:pPr>
        <w:spacing w:after="0" w:line="240" w:lineRule="auto"/>
        <w:rPr>
          <w:rFonts w:ascii="Gentium" w:hAnsi="Gentium"/>
          <w:sz w:val="24"/>
          <w:szCs w:val="24"/>
        </w:rPr>
      </w:pPr>
    </w:p>
    <w:p w:rsidR="005E7F00" w:rsidRPr="00D827EB" w:rsidRDefault="005E7F00" w:rsidP="00B7194A">
      <w:pPr>
        <w:spacing w:after="0" w:line="240" w:lineRule="auto"/>
        <w:rPr>
          <w:rFonts w:ascii="Gentium" w:hAnsi="Gentium"/>
          <w:sz w:val="24"/>
          <w:szCs w:val="24"/>
        </w:rPr>
      </w:pPr>
      <w:r w:rsidRPr="005E7F00">
        <w:rPr>
          <w:rFonts w:ascii="Gentium" w:hAnsi="Gentium"/>
          <w:sz w:val="24"/>
          <w:szCs w:val="24"/>
        </w:rPr>
        <w:t xml:space="preserve">Tittmann maintains that </w:t>
      </w:r>
      <w:r>
        <w:rPr>
          <w:rFonts w:ascii="Gentium" w:hAnsi="Gentium"/>
          <w:sz w:val="24"/>
          <w:szCs w:val="24"/>
        </w:rPr>
        <w:t>there a</w:t>
      </w:r>
      <w:r w:rsidR="00D827EB">
        <w:rPr>
          <w:rFonts w:ascii="Gentium" w:hAnsi="Gentium"/>
          <w:sz w:val="24"/>
          <w:szCs w:val="24"/>
        </w:rPr>
        <w:t xml:space="preserve">re three major areas in which prepositions can be connected with verbs: “they are either subjoined to the simple verb as a complement, as </w:t>
      </w:r>
      <w:r w:rsidR="00D827EB">
        <w:rPr>
          <w:rFonts w:ascii="Gentium" w:hAnsi="Gentium"/>
          <w:sz w:val="24"/>
          <w:szCs w:val="24"/>
          <w:lang w:val="el-GR"/>
        </w:rPr>
        <w:t>ὁρμᾷν</w:t>
      </w:r>
      <w:r w:rsidR="00D827EB" w:rsidRPr="00D827EB">
        <w:rPr>
          <w:rFonts w:ascii="Gentium" w:hAnsi="Gentium"/>
          <w:sz w:val="24"/>
          <w:szCs w:val="24"/>
        </w:rPr>
        <w:t xml:space="preserve"> </w:t>
      </w:r>
      <w:r w:rsidR="00D827EB">
        <w:rPr>
          <w:rFonts w:ascii="Gentium" w:hAnsi="Gentium"/>
          <w:sz w:val="24"/>
          <w:szCs w:val="24"/>
          <w:lang w:val="el-GR"/>
        </w:rPr>
        <w:t>ἐπί</w:t>
      </w:r>
      <w:r w:rsidR="00D827EB" w:rsidRPr="00D827EB">
        <w:rPr>
          <w:rFonts w:ascii="Gentium" w:hAnsi="Gentium"/>
          <w:sz w:val="24"/>
          <w:szCs w:val="24"/>
        </w:rPr>
        <w:t xml:space="preserve"> </w:t>
      </w:r>
      <w:r w:rsidR="00D827EB">
        <w:rPr>
          <w:rFonts w:ascii="Gentium" w:hAnsi="Gentium"/>
          <w:sz w:val="24"/>
          <w:szCs w:val="24"/>
          <w:lang w:val="el-GR"/>
        </w:rPr>
        <w:t>τι</w:t>
      </w:r>
      <w:r w:rsidR="00D827EB" w:rsidRPr="00D827EB">
        <w:rPr>
          <w:rFonts w:ascii="Gentium" w:hAnsi="Gentium"/>
          <w:sz w:val="24"/>
          <w:szCs w:val="24"/>
        </w:rPr>
        <w:t>,--</w:t>
      </w:r>
      <w:r w:rsidR="000B55B7">
        <w:rPr>
          <w:rFonts w:ascii="Gentium" w:hAnsi="Gentium"/>
          <w:sz w:val="24"/>
          <w:szCs w:val="24"/>
        </w:rPr>
        <w:t xml:space="preserve">or they are compounded with the </w:t>
      </w:r>
      <w:r w:rsidR="00B7194A">
        <w:rPr>
          <w:rFonts w:ascii="Gentium" w:hAnsi="Gentium"/>
          <w:sz w:val="24"/>
          <w:szCs w:val="24"/>
        </w:rPr>
        <w:t>verb</w:t>
      </w:r>
      <w:r w:rsidR="000B55B7">
        <w:rPr>
          <w:rFonts w:ascii="Gentium" w:hAnsi="Gentium"/>
          <w:sz w:val="24"/>
          <w:szCs w:val="24"/>
        </w:rPr>
        <w:t>, as</w:t>
      </w:r>
      <w:r w:rsidR="00D827EB" w:rsidRPr="00D827EB">
        <w:rPr>
          <w:rFonts w:ascii="Gentium" w:hAnsi="Gentium"/>
          <w:sz w:val="24"/>
          <w:szCs w:val="24"/>
        </w:rPr>
        <w:t xml:space="preserve"> </w:t>
      </w:r>
      <w:r w:rsidR="00D827EB">
        <w:rPr>
          <w:rFonts w:ascii="Gentium" w:hAnsi="Gentium"/>
          <w:sz w:val="24"/>
          <w:szCs w:val="24"/>
          <w:lang w:val="el-GR"/>
        </w:rPr>
        <w:t>ἐφορμᾶν</w:t>
      </w:r>
      <w:r w:rsidR="000B55B7">
        <w:rPr>
          <w:rFonts w:ascii="Gentium" w:hAnsi="Gentium"/>
          <w:sz w:val="24"/>
          <w:szCs w:val="24"/>
        </w:rPr>
        <w:t xml:space="preserve">,--or they are subjoined to a verb already compounded with the same or another preposition, as </w:t>
      </w:r>
      <w:r w:rsidR="00D827EB">
        <w:rPr>
          <w:rFonts w:ascii="Gentium" w:hAnsi="Gentium"/>
          <w:sz w:val="24"/>
          <w:szCs w:val="24"/>
          <w:lang w:val="el-GR"/>
        </w:rPr>
        <w:t>ἐφορμᾷν</w:t>
      </w:r>
      <w:r w:rsidR="00D827EB" w:rsidRPr="00D827EB">
        <w:rPr>
          <w:rFonts w:ascii="Gentium" w:hAnsi="Gentium"/>
          <w:sz w:val="24"/>
          <w:szCs w:val="24"/>
        </w:rPr>
        <w:t xml:space="preserve"> </w:t>
      </w:r>
      <w:r w:rsidR="00D827EB">
        <w:rPr>
          <w:rFonts w:ascii="Gentium" w:hAnsi="Gentium"/>
          <w:sz w:val="24"/>
          <w:szCs w:val="24"/>
          <w:lang w:val="el-GR"/>
        </w:rPr>
        <w:t>εις</w:t>
      </w:r>
      <w:r w:rsidR="00D827EB" w:rsidRPr="00D827EB">
        <w:rPr>
          <w:rFonts w:ascii="Gentium" w:hAnsi="Gentium"/>
          <w:sz w:val="24"/>
          <w:szCs w:val="24"/>
        </w:rPr>
        <w:t xml:space="preserve"> </w:t>
      </w:r>
      <w:r w:rsidR="00D827EB">
        <w:rPr>
          <w:rFonts w:ascii="Gentium" w:hAnsi="Gentium"/>
          <w:sz w:val="24"/>
          <w:szCs w:val="24"/>
          <w:lang w:val="el-GR"/>
        </w:rPr>
        <w:t>πόλεμον</w:t>
      </w:r>
      <w:r w:rsidR="00D827EB" w:rsidRPr="00D827EB">
        <w:rPr>
          <w:rFonts w:ascii="Gentium" w:hAnsi="Gentium"/>
          <w:sz w:val="24"/>
          <w:szCs w:val="24"/>
        </w:rPr>
        <w:t xml:space="preserve">, </w:t>
      </w:r>
      <w:r w:rsidR="00D827EB">
        <w:rPr>
          <w:rFonts w:ascii="Gentium" w:hAnsi="Gentium"/>
          <w:sz w:val="24"/>
          <w:szCs w:val="24"/>
          <w:lang w:val="el-GR"/>
        </w:rPr>
        <w:t>ἀπέχεσθαι</w:t>
      </w:r>
      <w:r w:rsidR="00D827EB" w:rsidRPr="00D827EB">
        <w:rPr>
          <w:rFonts w:ascii="Gentium" w:hAnsi="Gentium"/>
          <w:sz w:val="24"/>
          <w:szCs w:val="24"/>
        </w:rPr>
        <w:t xml:space="preserve"> </w:t>
      </w:r>
      <w:r w:rsidR="00D827EB">
        <w:rPr>
          <w:rFonts w:ascii="Gentium" w:hAnsi="Gentium"/>
          <w:sz w:val="24"/>
          <w:szCs w:val="24"/>
          <w:lang w:val="el-GR"/>
        </w:rPr>
        <w:t>ἀπὸ</w:t>
      </w:r>
      <w:r w:rsidR="00D827EB" w:rsidRPr="00D827EB">
        <w:rPr>
          <w:rFonts w:ascii="Gentium" w:hAnsi="Gentium"/>
          <w:sz w:val="24"/>
          <w:szCs w:val="24"/>
        </w:rPr>
        <w:t xml:space="preserve"> </w:t>
      </w:r>
      <w:r w:rsidR="00D827EB">
        <w:rPr>
          <w:rFonts w:ascii="Gentium" w:hAnsi="Gentium"/>
          <w:sz w:val="24"/>
          <w:szCs w:val="24"/>
          <w:lang w:val="el-GR"/>
        </w:rPr>
        <w:lastRenderedPageBreak/>
        <w:t>τῆς</w:t>
      </w:r>
      <w:r w:rsidR="00D827EB" w:rsidRPr="00D827EB">
        <w:rPr>
          <w:rFonts w:ascii="Gentium" w:hAnsi="Gentium"/>
          <w:sz w:val="24"/>
          <w:szCs w:val="24"/>
        </w:rPr>
        <w:t xml:space="preserve"> </w:t>
      </w:r>
      <w:r w:rsidR="00D827EB">
        <w:rPr>
          <w:rFonts w:ascii="Gentium" w:hAnsi="Gentium"/>
          <w:sz w:val="24"/>
          <w:szCs w:val="24"/>
          <w:lang w:val="el-GR"/>
        </w:rPr>
        <w:t>πορνείας</w:t>
      </w:r>
      <w:r w:rsidR="000B55B7">
        <w:rPr>
          <w:rFonts w:ascii="Gentium" w:hAnsi="Gentium"/>
          <w:sz w:val="24"/>
          <w:szCs w:val="24"/>
        </w:rPr>
        <w:t>” (48). He sets out to examine the second of these three</w:t>
      </w:r>
      <w:r w:rsidR="0076586D">
        <w:rPr>
          <w:rFonts w:ascii="Gentium" w:hAnsi="Gentium"/>
          <w:sz w:val="24"/>
          <w:szCs w:val="24"/>
        </w:rPr>
        <w:t xml:space="preserve"> areas, </w:t>
      </w:r>
      <w:r w:rsidR="00090A06">
        <w:rPr>
          <w:rFonts w:ascii="Gentium" w:hAnsi="Gentium"/>
          <w:sz w:val="24"/>
          <w:szCs w:val="24"/>
        </w:rPr>
        <w:t>or in other words,</w:t>
      </w:r>
      <w:r w:rsidR="0076586D">
        <w:rPr>
          <w:rFonts w:ascii="Gentium" w:hAnsi="Gentium"/>
          <w:sz w:val="24"/>
          <w:szCs w:val="24"/>
        </w:rPr>
        <w:t xml:space="preserve"> those</w:t>
      </w:r>
      <w:r w:rsidR="000B55B7">
        <w:rPr>
          <w:rFonts w:ascii="Gentium" w:hAnsi="Gentium"/>
          <w:sz w:val="24"/>
          <w:szCs w:val="24"/>
        </w:rPr>
        <w:t xml:space="preserve"> in which prepositions are affixed directly to </w:t>
      </w:r>
      <w:r w:rsidR="00F101B0">
        <w:rPr>
          <w:rFonts w:ascii="Gentium" w:hAnsi="Gentium"/>
          <w:sz w:val="24"/>
          <w:szCs w:val="24"/>
        </w:rPr>
        <w:t>a</w:t>
      </w:r>
      <w:r w:rsidR="000B55B7">
        <w:rPr>
          <w:rFonts w:ascii="Gentium" w:hAnsi="Gentium"/>
          <w:sz w:val="24"/>
          <w:szCs w:val="24"/>
        </w:rPr>
        <w:t xml:space="preserve"> verb forming a compound verb.  </w:t>
      </w:r>
    </w:p>
    <w:p w:rsidR="005E7F00" w:rsidRPr="005E7F00" w:rsidRDefault="005E7F00" w:rsidP="006F3EE9">
      <w:pPr>
        <w:spacing w:after="0" w:line="240" w:lineRule="auto"/>
        <w:rPr>
          <w:rFonts w:ascii="Gentium" w:hAnsi="Gentium"/>
          <w:sz w:val="24"/>
          <w:szCs w:val="24"/>
        </w:rPr>
      </w:pPr>
    </w:p>
    <w:p w:rsidR="00090A06" w:rsidRDefault="00090A06" w:rsidP="005F5DF4">
      <w:pPr>
        <w:spacing w:after="0" w:line="240" w:lineRule="auto"/>
        <w:rPr>
          <w:rFonts w:ascii="Gentium" w:hAnsi="Gentium"/>
          <w:sz w:val="24"/>
          <w:szCs w:val="24"/>
        </w:rPr>
      </w:pPr>
      <w:r w:rsidRPr="00090A06">
        <w:rPr>
          <w:rFonts w:ascii="Gentium" w:hAnsi="Gentium"/>
          <w:sz w:val="24"/>
          <w:szCs w:val="24"/>
        </w:rPr>
        <w:t>Tittmann</w:t>
      </w:r>
      <w:r>
        <w:rPr>
          <w:rFonts w:ascii="Gentium" w:hAnsi="Gentium"/>
          <w:sz w:val="24"/>
          <w:szCs w:val="24"/>
        </w:rPr>
        <w:t xml:space="preserve"> makes a few preliminary observations about the nature of prepositions in compound verbs worth noting. One is that certain verbs, once affixed with a preposition,</w:t>
      </w:r>
      <w:r w:rsidR="005F5DF4">
        <w:rPr>
          <w:rFonts w:ascii="Gentium" w:hAnsi="Gentium"/>
          <w:sz w:val="24"/>
          <w:szCs w:val="24"/>
        </w:rPr>
        <w:t xml:space="preserve"> actually do</w:t>
      </w:r>
      <w:r>
        <w:rPr>
          <w:rFonts w:ascii="Gentium" w:hAnsi="Gentium"/>
          <w:sz w:val="24"/>
          <w:szCs w:val="24"/>
        </w:rPr>
        <w:t xml:space="preserve"> take on a meaning completely new and sometimes </w:t>
      </w:r>
      <w:r w:rsidRPr="00090A06">
        <w:rPr>
          <w:rFonts w:ascii="Gentium" w:hAnsi="Gentium"/>
          <w:sz w:val="24"/>
          <w:szCs w:val="24"/>
        </w:rPr>
        <w:t>opposite</w:t>
      </w:r>
      <w:r>
        <w:rPr>
          <w:rFonts w:ascii="Gentium" w:hAnsi="Gentium"/>
          <w:sz w:val="24"/>
          <w:szCs w:val="24"/>
        </w:rPr>
        <w:t xml:space="preserve"> sense. </w:t>
      </w:r>
      <w:r w:rsidRPr="00090A06">
        <w:rPr>
          <w:rFonts w:ascii="Gentium" w:hAnsi="Gentium"/>
          <w:sz w:val="24"/>
          <w:szCs w:val="24"/>
        </w:rPr>
        <w:t xml:space="preserve">For instance, the verb </w:t>
      </w:r>
      <w:r>
        <w:rPr>
          <w:rFonts w:ascii="Gentium" w:hAnsi="Gentium"/>
          <w:sz w:val="24"/>
          <w:szCs w:val="24"/>
          <w:lang w:val="el-GR"/>
        </w:rPr>
        <w:t>ἀπέχειν</w:t>
      </w:r>
      <w:r w:rsidRPr="00090A06">
        <w:rPr>
          <w:rFonts w:ascii="Gentium" w:hAnsi="Gentium"/>
          <w:sz w:val="24"/>
          <w:szCs w:val="24"/>
        </w:rPr>
        <w:t xml:space="preserve"> is used to show that the simple </w:t>
      </w:r>
      <w:r>
        <w:rPr>
          <w:rFonts w:ascii="Gentium" w:hAnsi="Gentium"/>
          <w:sz w:val="24"/>
          <w:szCs w:val="24"/>
          <w:lang w:val="el-GR"/>
        </w:rPr>
        <w:t>ἔχειν</w:t>
      </w:r>
      <w:r>
        <w:rPr>
          <w:rFonts w:ascii="Gentium" w:hAnsi="Gentium"/>
          <w:sz w:val="24"/>
          <w:szCs w:val="24"/>
        </w:rPr>
        <w:t xml:space="preserve"> </w:t>
      </w:r>
      <w:r w:rsidRPr="00090A06">
        <w:rPr>
          <w:rFonts w:ascii="Gentium" w:hAnsi="Gentium"/>
          <w:sz w:val="24"/>
          <w:szCs w:val="24"/>
        </w:rPr>
        <w:t>(</w:t>
      </w:r>
      <w:r>
        <w:rPr>
          <w:rFonts w:ascii="Gentium" w:hAnsi="Gentium"/>
          <w:sz w:val="24"/>
          <w:szCs w:val="24"/>
        </w:rPr>
        <w:t xml:space="preserve">“to have”), once affixed with the preposition </w:t>
      </w:r>
      <w:r>
        <w:rPr>
          <w:rFonts w:ascii="Gentium" w:hAnsi="Gentium"/>
          <w:sz w:val="24"/>
          <w:szCs w:val="24"/>
          <w:lang w:val="el-GR"/>
        </w:rPr>
        <w:t>ἀπό</w:t>
      </w:r>
      <w:r w:rsidR="00DF418E" w:rsidRPr="00DF418E">
        <w:rPr>
          <w:rFonts w:ascii="Gentium" w:hAnsi="Gentium"/>
          <w:sz w:val="24"/>
          <w:szCs w:val="24"/>
        </w:rPr>
        <w:t xml:space="preserve"> (</w:t>
      </w:r>
      <w:r w:rsidR="00DF418E">
        <w:rPr>
          <w:rFonts w:ascii="Gentium" w:hAnsi="Gentium"/>
          <w:sz w:val="24"/>
          <w:szCs w:val="24"/>
          <w:lang w:val="el-GR"/>
        </w:rPr>
        <w:t>ἀπέχω</w:t>
      </w:r>
      <w:r w:rsidR="00DF418E" w:rsidRPr="00DF418E">
        <w:rPr>
          <w:rFonts w:ascii="Gentium" w:hAnsi="Gentium"/>
          <w:sz w:val="24"/>
          <w:szCs w:val="24"/>
        </w:rPr>
        <w:t>)</w:t>
      </w:r>
      <w:r>
        <w:rPr>
          <w:rFonts w:ascii="Gentium" w:hAnsi="Gentium"/>
          <w:sz w:val="24"/>
          <w:szCs w:val="24"/>
        </w:rPr>
        <w:t xml:space="preserve"> </w:t>
      </w:r>
      <w:r w:rsidR="00DF418E">
        <w:rPr>
          <w:rFonts w:ascii="Gentium" w:hAnsi="Gentium"/>
          <w:sz w:val="24"/>
          <w:szCs w:val="24"/>
        </w:rPr>
        <w:t>has the gloss “to abstain, keep away” (53). It would be incorrect to argue then</w:t>
      </w:r>
      <w:r w:rsidR="009433D6">
        <w:rPr>
          <w:rFonts w:ascii="Gentium" w:hAnsi="Gentium"/>
          <w:sz w:val="24"/>
          <w:szCs w:val="24"/>
        </w:rPr>
        <w:t xml:space="preserve"> that</w:t>
      </w:r>
      <w:r w:rsidR="00DF418E">
        <w:rPr>
          <w:rFonts w:ascii="Gentium" w:hAnsi="Gentium"/>
          <w:sz w:val="24"/>
          <w:szCs w:val="24"/>
        </w:rPr>
        <w:t xml:space="preserve"> a preposition affixed to a simple verb </w:t>
      </w:r>
      <w:r w:rsidR="005F5DF4">
        <w:rPr>
          <w:rFonts w:ascii="Gentium" w:hAnsi="Gentium"/>
          <w:sz w:val="24"/>
          <w:szCs w:val="24"/>
        </w:rPr>
        <w:t>doesn’t ever</w:t>
      </w:r>
      <w:r w:rsidR="00DF418E">
        <w:rPr>
          <w:rFonts w:ascii="Gentium" w:hAnsi="Gentium"/>
          <w:sz w:val="24"/>
          <w:szCs w:val="24"/>
        </w:rPr>
        <w:t xml:space="preserve"> influence the signification of the verb. </w:t>
      </w:r>
      <w:r w:rsidR="005F5DF4">
        <w:rPr>
          <w:rFonts w:ascii="Gentium" w:hAnsi="Gentium"/>
          <w:sz w:val="24"/>
          <w:szCs w:val="24"/>
        </w:rPr>
        <w:t>Therefore they are not all redundant!</w:t>
      </w:r>
    </w:p>
    <w:p w:rsidR="00F101B0" w:rsidRDefault="00F101B0" w:rsidP="00F101B0">
      <w:pPr>
        <w:spacing w:after="0" w:line="240" w:lineRule="auto"/>
        <w:rPr>
          <w:rFonts w:ascii="Gentium" w:hAnsi="Gentium"/>
          <w:sz w:val="24"/>
          <w:szCs w:val="24"/>
        </w:rPr>
      </w:pPr>
    </w:p>
    <w:p w:rsidR="00F101B0" w:rsidRDefault="00F101B0" w:rsidP="00A24EBA">
      <w:pPr>
        <w:spacing w:after="0" w:line="240" w:lineRule="auto"/>
        <w:rPr>
          <w:rFonts w:ascii="Gentium" w:hAnsi="Gentium"/>
          <w:sz w:val="24"/>
          <w:szCs w:val="24"/>
        </w:rPr>
      </w:pPr>
      <w:r>
        <w:rPr>
          <w:rFonts w:ascii="Gentium" w:hAnsi="Gentium"/>
          <w:sz w:val="24"/>
          <w:szCs w:val="24"/>
        </w:rPr>
        <w:t xml:space="preserve">He also notes that the force of prepositions in compound verbs do one of two things: “it either </w:t>
      </w:r>
      <w:r w:rsidRPr="00F101B0">
        <w:rPr>
          <w:rFonts w:ascii="Gentium" w:hAnsi="Gentium"/>
          <w:i/>
          <w:iCs/>
          <w:sz w:val="24"/>
          <w:szCs w:val="24"/>
        </w:rPr>
        <w:t>changes</w:t>
      </w:r>
      <w:r>
        <w:rPr>
          <w:rFonts w:ascii="Gentium" w:hAnsi="Gentium"/>
          <w:sz w:val="24"/>
          <w:szCs w:val="24"/>
        </w:rPr>
        <w:t xml:space="preserve"> the significance of the verb, so that the idea expressed by the compound is a different one from that of the simple verb” as he has already demonstrated </w:t>
      </w:r>
      <w:r w:rsidR="005F5DF4">
        <w:rPr>
          <w:rFonts w:ascii="Gentium" w:hAnsi="Gentium"/>
          <w:sz w:val="24"/>
          <w:szCs w:val="24"/>
        </w:rPr>
        <w:t xml:space="preserve">above </w:t>
      </w:r>
      <w:r>
        <w:rPr>
          <w:rFonts w:ascii="Gentium" w:hAnsi="Gentium"/>
          <w:sz w:val="24"/>
          <w:szCs w:val="24"/>
        </w:rPr>
        <w:t>with</w:t>
      </w:r>
      <w:r w:rsidR="005F5DF4">
        <w:rPr>
          <w:rFonts w:ascii="Gentium" w:hAnsi="Gentium"/>
          <w:sz w:val="24"/>
          <w:szCs w:val="24"/>
        </w:rPr>
        <w:t xml:space="preserve"> the example</w:t>
      </w:r>
      <w:r>
        <w:rPr>
          <w:rFonts w:ascii="Gentium" w:hAnsi="Gentium"/>
          <w:sz w:val="24"/>
          <w:szCs w:val="24"/>
        </w:rPr>
        <w:t xml:space="preserve"> </w:t>
      </w:r>
      <w:r>
        <w:rPr>
          <w:rFonts w:ascii="Gentium" w:hAnsi="Gentium"/>
          <w:sz w:val="24"/>
          <w:szCs w:val="24"/>
          <w:lang w:val="el-GR"/>
        </w:rPr>
        <w:t>ἀπέχειν</w:t>
      </w:r>
      <w:r>
        <w:rPr>
          <w:rFonts w:ascii="Gentium" w:hAnsi="Gentium"/>
          <w:sz w:val="24"/>
          <w:szCs w:val="24"/>
        </w:rPr>
        <w:t xml:space="preserve">, or “the preposition so </w:t>
      </w:r>
      <w:r>
        <w:rPr>
          <w:rFonts w:ascii="Gentium" w:hAnsi="Gentium"/>
          <w:i/>
          <w:iCs/>
          <w:sz w:val="24"/>
          <w:szCs w:val="24"/>
        </w:rPr>
        <w:t>modifies</w:t>
      </w:r>
      <w:r>
        <w:rPr>
          <w:rFonts w:ascii="Gentium" w:hAnsi="Gentium"/>
          <w:sz w:val="24"/>
          <w:szCs w:val="24"/>
        </w:rPr>
        <w:t xml:space="preserve"> the meaning of the simple verb, that although the same idea is expressed, yet it is expressed under some certain relation and in a different manner” (54). </w:t>
      </w:r>
      <w:r w:rsidR="005F5DF4">
        <w:rPr>
          <w:rFonts w:ascii="Gentium" w:hAnsi="Gentium"/>
          <w:sz w:val="24"/>
          <w:szCs w:val="24"/>
        </w:rPr>
        <w:t xml:space="preserve">Regarding these two options, the first one is not in question. Sometimes the preposition does completely change the meaning of the verb. The second option however creates the problem. He writes, </w:t>
      </w:r>
    </w:p>
    <w:p w:rsidR="005F5DF4" w:rsidRDefault="005F5DF4" w:rsidP="005F5DF4">
      <w:pPr>
        <w:spacing w:after="0" w:line="240" w:lineRule="auto"/>
        <w:rPr>
          <w:rFonts w:ascii="Gentium" w:hAnsi="Gentium"/>
          <w:sz w:val="24"/>
          <w:szCs w:val="24"/>
        </w:rPr>
      </w:pPr>
      <w:r>
        <w:rPr>
          <w:rFonts w:ascii="Gentium" w:hAnsi="Gentium"/>
          <w:sz w:val="24"/>
          <w:szCs w:val="24"/>
        </w:rPr>
        <w:tab/>
      </w:r>
    </w:p>
    <w:p w:rsidR="005F5DF4" w:rsidRPr="00F101B0" w:rsidRDefault="005F5DF4" w:rsidP="00A24EBA">
      <w:pPr>
        <w:spacing w:after="0" w:line="240" w:lineRule="auto"/>
        <w:ind w:left="360"/>
        <w:rPr>
          <w:rFonts w:ascii="Gentium" w:hAnsi="Gentium"/>
          <w:sz w:val="24"/>
          <w:szCs w:val="24"/>
        </w:rPr>
      </w:pPr>
      <w:r>
        <w:rPr>
          <w:rFonts w:ascii="Gentium" w:hAnsi="Gentium"/>
          <w:sz w:val="24"/>
          <w:szCs w:val="24"/>
        </w:rPr>
        <w:t xml:space="preserve">The only matter of dispute </w:t>
      </w:r>
      <w:r w:rsidR="00A24EBA">
        <w:rPr>
          <w:rFonts w:ascii="Gentium" w:hAnsi="Gentium"/>
          <w:sz w:val="24"/>
          <w:szCs w:val="24"/>
        </w:rPr>
        <w:t>is</w:t>
      </w:r>
      <w:r>
        <w:rPr>
          <w:rFonts w:ascii="Gentium" w:hAnsi="Gentium"/>
          <w:sz w:val="24"/>
          <w:szCs w:val="24"/>
        </w:rPr>
        <w:t>, respecting the second class of compounds, viz. those in which the main idea is the same as in the simple verbs. And it is chiefly because the diversity in the relation of things is so manifold, and the modes of conception in respect to the same thing so various, and because these modes and relations</w:t>
      </w:r>
      <w:r w:rsidR="008011A6">
        <w:rPr>
          <w:rFonts w:ascii="Gentium" w:hAnsi="Gentium"/>
          <w:sz w:val="24"/>
          <w:szCs w:val="24"/>
        </w:rPr>
        <w:t xml:space="preserve"> again are sometimes so indefinite and abstruse, that the custom has arisen in regard to this class of verbs, of affirming as a rule, that compound verbs often signify nothing different from, or more than, the corresponding simple verbs. Hence also comes the habit of loosely affirming, sometimes that the prepositions do not</w:t>
      </w:r>
      <w:r w:rsidR="00B7194A">
        <w:rPr>
          <w:rFonts w:ascii="Gentium" w:hAnsi="Gentium"/>
          <w:sz w:val="24"/>
          <w:szCs w:val="24"/>
        </w:rPr>
        <w:t xml:space="preserve"> change</w:t>
      </w:r>
      <w:r w:rsidR="008011A6">
        <w:rPr>
          <w:rFonts w:ascii="Gentium" w:hAnsi="Gentium"/>
          <w:sz w:val="24"/>
          <w:szCs w:val="24"/>
        </w:rPr>
        <w:t xml:space="preserve"> the meaning of the simple verbs, sometimes that no accession of meaning is made by them to the simple verbs, and again that no emphasis is produced in such cases by prepositions. This ambiguity needs to be removed (54).</w:t>
      </w:r>
    </w:p>
    <w:p w:rsidR="00090A06" w:rsidRDefault="00090A06" w:rsidP="006F3EE9">
      <w:pPr>
        <w:spacing w:after="0" w:line="240" w:lineRule="auto"/>
        <w:rPr>
          <w:rFonts w:ascii="Gentium" w:hAnsi="Gentium"/>
          <w:b/>
          <w:bCs/>
          <w:sz w:val="24"/>
          <w:szCs w:val="24"/>
        </w:rPr>
      </w:pPr>
    </w:p>
    <w:p w:rsidR="0076586D" w:rsidRPr="0076586D" w:rsidRDefault="0076586D" w:rsidP="006F3EE9">
      <w:pPr>
        <w:spacing w:after="0" w:line="240" w:lineRule="auto"/>
        <w:rPr>
          <w:rFonts w:ascii="Gentium" w:hAnsi="Gentium"/>
          <w:b/>
          <w:bCs/>
          <w:sz w:val="24"/>
          <w:szCs w:val="24"/>
        </w:rPr>
      </w:pPr>
      <w:r w:rsidRPr="0076586D">
        <w:rPr>
          <w:rFonts w:ascii="Gentium" w:hAnsi="Gentium"/>
          <w:b/>
          <w:bCs/>
          <w:sz w:val="24"/>
          <w:szCs w:val="24"/>
        </w:rPr>
        <w:t>Thesis</w:t>
      </w:r>
    </w:p>
    <w:p w:rsidR="0076586D" w:rsidRDefault="0076586D" w:rsidP="006F3EE9">
      <w:pPr>
        <w:spacing w:after="0" w:line="240" w:lineRule="auto"/>
        <w:rPr>
          <w:rFonts w:ascii="Gentium" w:hAnsi="Gentium"/>
          <w:sz w:val="24"/>
          <w:szCs w:val="24"/>
        </w:rPr>
      </w:pPr>
    </w:p>
    <w:p w:rsidR="00090A06" w:rsidRDefault="00090A06" w:rsidP="009433D6">
      <w:pPr>
        <w:spacing w:after="0" w:line="240" w:lineRule="auto"/>
        <w:rPr>
          <w:rFonts w:ascii="Gentium" w:hAnsi="Gentium"/>
          <w:sz w:val="24"/>
          <w:szCs w:val="24"/>
        </w:rPr>
      </w:pPr>
      <w:r>
        <w:rPr>
          <w:rFonts w:ascii="Gentium" w:hAnsi="Gentium"/>
          <w:sz w:val="24"/>
          <w:szCs w:val="24"/>
        </w:rPr>
        <w:t xml:space="preserve">Tittmann </w:t>
      </w:r>
      <w:r w:rsidR="008011A6">
        <w:rPr>
          <w:rFonts w:ascii="Gentium" w:hAnsi="Gentium"/>
          <w:sz w:val="24"/>
          <w:szCs w:val="24"/>
        </w:rPr>
        <w:t>sets out to remove this “ambiguity”</w:t>
      </w:r>
      <w:r w:rsidR="00DF418E">
        <w:rPr>
          <w:rFonts w:ascii="Gentium" w:hAnsi="Gentium"/>
          <w:sz w:val="24"/>
          <w:szCs w:val="24"/>
        </w:rPr>
        <w:t xml:space="preserve"> </w:t>
      </w:r>
      <w:r w:rsidR="008011A6">
        <w:rPr>
          <w:rFonts w:ascii="Gentium" w:hAnsi="Gentium"/>
          <w:sz w:val="24"/>
          <w:szCs w:val="24"/>
        </w:rPr>
        <w:t xml:space="preserve">by first offering a working description of the role of prepositions in compound verbs </w:t>
      </w:r>
      <w:r w:rsidR="008915EE">
        <w:rPr>
          <w:rFonts w:ascii="Gentium" w:hAnsi="Gentium"/>
          <w:sz w:val="24"/>
          <w:szCs w:val="24"/>
        </w:rPr>
        <w:t>when the preposition in compound makes no discerning change in the idea of the verb</w:t>
      </w:r>
      <w:r w:rsidR="00402E47">
        <w:rPr>
          <w:rFonts w:ascii="Gentium" w:hAnsi="Gentium"/>
          <w:sz w:val="24"/>
          <w:szCs w:val="24"/>
        </w:rPr>
        <w:t xml:space="preserve"> </w:t>
      </w:r>
      <w:r w:rsidR="008011A6">
        <w:rPr>
          <w:rFonts w:ascii="Gentium" w:hAnsi="Gentium"/>
          <w:sz w:val="24"/>
          <w:szCs w:val="24"/>
        </w:rPr>
        <w:t>with classifications followed by examples for these headings.</w:t>
      </w:r>
    </w:p>
    <w:p w:rsidR="008011A6" w:rsidRDefault="008011A6" w:rsidP="008011A6">
      <w:pPr>
        <w:spacing w:after="0" w:line="240" w:lineRule="auto"/>
        <w:rPr>
          <w:rFonts w:ascii="Gentium" w:hAnsi="Gentium"/>
          <w:sz w:val="24"/>
          <w:szCs w:val="24"/>
        </w:rPr>
      </w:pPr>
    </w:p>
    <w:p w:rsidR="008011A6" w:rsidRDefault="00402E47" w:rsidP="008011A6">
      <w:pPr>
        <w:spacing w:after="0" w:line="240" w:lineRule="auto"/>
        <w:rPr>
          <w:rFonts w:ascii="Gentium" w:hAnsi="Gentium"/>
          <w:sz w:val="24"/>
          <w:szCs w:val="24"/>
        </w:rPr>
      </w:pPr>
      <w:r>
        <w:rPr>
          <w:rFonts w:ascii="Gentium" w:hAnsi="Gentium"/>
          <w:sz w:val="24"/>
          <w:szCs w:val="24"/>
        </w:rPr>
        <w:t>He writes,</w:t>
      </w:r>
    </w:p>
    <w:p w:rsidR="006F3DFF" w:rsidRDefault="006F3DFF" w:rsidP="008011A6">
      <w:pPr>
        <w:spacing w:after="0" w:line="240" w:lineRule="auto"/>
        <w:rPr>
          <w:rFonts w:ascii="Gentium" w:hAnsi="Gentium"/>
          <w:sz w:val="24"/>
          <w:szCs w:val="24"/>
        </w:rPr>
      </w:pPr>
    </w:p>
    <w:p w:rsidR="00402E47" w:rsidRDefault="00402E47" w:rsidP="00402E47">
      <w:pPr>
        <w:spacing w:after="0" w:line="240" w:lineRule="auto"/>
        <w:ind w:left="360" w:firstLine="360"/>
        <w:rPr>
          <w:rFonts w:ascii="Gentium" w:hAnsi="Gentium"/>
          <w:sz w:val="24"/>
          <w:szCs w:val="24"/>
        </w:rPr>
      </w:pPr>
      <w:r>
        <w:rPr>
          <w:rFonts w:ascii="Gentium" w:hAnsi="Gentium"/>
          <w:sz w:val="24"/>
          <w:szCs w:val="24"/>
        </w:rPr>
        <w:t xml:space="preserve">We suppose, then, that prepositions in this class of compound verbs, have this force, viz. that although the thing expressed by the compound verb, is the same with that, the notion of which is contained in the simple verb, yet in the compound verb it is conceived of or apprehended under a different relation and in a different mode. By </w:t>
      </w:r>
      <w:r>
        <w:rPr>
          <w:rFonts w:ascii="Gentium" w:hAnsi="Gentium"/>
          <w:i/>
          <w:iCs/>
          <w:sz w:val="24"/>
          <w:szCs w:val="24"/>
        </w:rPr>
        <w:t>relation</w:t>
      </w:r>
      <w:r>
        <w:rPr>
          <w:rFonts w:ascii="Gentium" w:hAnsi="Gentium"/>
          <w:sz w:val="24"/>
          <w:szCs w:val="24"/>
        </w:rPr>
        <w:t>, I here mean that relation which has place among</w:t>
      </w:r>
      <w:r w:rsidR="006F3DFF">
        <w:rPr>
          <w:rFonts w:ascii="Gentium" w:hAnsi="Gentium"/>
          <w:sz w:val="24"/>
          <w:szCs w:val="24"/>
        </w:rPr>
        <w:t xml:space="preserve"> the things or adjuncts which are connected with the </w:t>
      </w:r>
      <w:r w:rsidR="006F3DFF">
        <w:rPr>
          <w:rFonts w:ascii="Gentium" w:hAnsi="Gentium"/>
          <w:sz w:val="24"/>
          <w:szCs w:val="24"/>
        </w:rPr>
        <w:lastRenderedPageBreak/>
        <w:t xml:space="preserve">verb; by </w:t>
      </w:r>
      <w:r w:rsidR="006F3DFF">
        <w:rPr>
          <w:rFonts w:ascii="Gentium" w:hAnsi="Gentium"/>
          <w:i/>
          <w:iCs/>
          <w:sz w:val="24"/>
          <w:szCs w:val="24"/>
        </w:rPr>
        <w:t>mode</w:t>
      </w:r>
      <w:r w:rsidR="006F3DFF">
        <w:rPr>
          <w:rFonts w:ascii="Gentium" w:hAnsi="Gentium"/>
          <w:sz w:val="24"/>
          <w:szCs w:val="24"/>
        </w:rPr>
        <w:t xml:space="preserve">, I understand the way or manner in which the conception or apprehension of these adjuncts affects the mind” (54-55). </w:t>
      </w:r>
    </w:p>
    <w:p w:rsidR="006F3DFF" w:rsidRDefault="006F3DFF" w:rsidP="006F3DFF">
      <w:pPr>
        <w:spacing w:after="0" w:line="240" w:lineRule="auto"/>
        <w:rPr>
          <w:rFonts w:ascii="Gentium" w:hAnsi="Gentium"/>
          <w:sz w:val="24"/>
          <w:szCs w:val="24"/>
        </w:rPr>
      </w:pPr>
    </w:p>
    <w:p w:rsidR="00B7194A" w:rsidRDefault="00B7194A" w:rsidP="006F3DFF">
      <w:pPr>
        <w:spacing w:after="0" w:line="240" w:lineRule="auto"/>
        <w:rPr>
          <w:rFonts w:ascii="Gentium" w:hAnsi="Gentium"/>
          <w:sz w:val="24"/>
          <w:szCs w:val="24"/>
        </w:rPr>
      </w:pPr>
    </w:p>
    <w:p w:rsidR="006F3DFF" w:rsidRPr="00105E31" w:rsidRDefault="006F3DFF" w:rsidP="006F3DFF">
      <w:pPr>
        <w:spacing w:after="0" w:line="240" w:lineRule="auto"/>
        <w:rPr>
          <w:rFonts w:ascii="Gentium" w:hAnsi="Gentium"/>
          <w:sz w:val="24"/>
          <w:szCs w:val="24"/>
        </w:rPr>
      </w:pPr>
      <w:r>
        <w:rPr>
          <w:rFonts w:ascii="Gentium" w:hAnsi="Gentium"/>
          <w:sz w:val="24"/>
          <w:szCs w:val="24"/>
        </w:rPr>
        <w:t>He then illustrates what he means by relation and mode.</w:t>
      </w:r>
      <w:r w:rsidR="00CE4B90">
        <w:rPr>
          <w:rFonts w:ascii="Gentium" w:hAnsi="Gentium"/>
          <w:sz w:val="24"/>
          <w:szCs w:val="24"/>
        </w:rPr>
        <w:t xml:space="preserve"> </w:t>
      </w:r>
    </w:p>
    <w:p w:rsidR="0076586D" w:rsidRDefault="0076586D" w:rsidP="006F3EE9">
      <w:pPr>
        <w:spacing w:after="0" w:line="240" w:lineRule="auto"/>
        <w:rPr>
          <w:rFonts w:ascii="Gentium" w:hAnsi="Gentium"/>
          <w:sz w:val="24"/>
          <w:szCs w:val="24"/>
        </w:rPr>
      </w:pPr>
    </w:p>
    <w:p w:rsidR="0076586D" w:rsidRDefault="006F3DFF" w:rsidP="006F3EE9">
      <w:pPr>
        <w:spacing w:after="0" w:line="240" w:lineRule="auto"/>
        <w:rPr>
          <w:rFonts w:ascii="Gentium" w:hAnsi="Gentium"/>
          <w:i/>
          <w:iCs/>
          <w:sz w:val="24"/>
          <w:szCs w:val="24"/>
        </w:rPr>
      </w:pPr>
      <w:r>
        <w:rPr>
          <w:rFonts w:ascii="Gentium" w:hAnsi="Gentium"/>
          <w:i/>
          <w:iCs/>
          <w:sz w:val="24"/>
          <w:szCs w:val="24"/>
        </w:rPr>
        <w:t>Relation</w:t>
      </w:r>
    </w:p>
    <w:p w:rsidR="006F3DFF" w:rsidRDefault="006F3DFF" w:rsidP="006F3EE9">
      <w:pPr>
        <w:spacing w:after="0" w:line="240" w:lineRule="auto"/>
        <w:rPr>
          <w:rFonts w:ascii="Gentium" w:hAnsi="Gentium"/>
          <w:sz w:val="24"/>
          <w:szCs w:val="24"/>
        </w:rPr>
      </w:pPr>
    </w:p>
    <w:p w:rsidR="006F3DFF" w:rsidRDefault="006F3DFF" w:rsidP="006F3DFF">
      <w:pPr>
        <w:pStyle w:val="ListParagraph"/>
        <w:numPr>
          <w:ilvl w:val="0"/>
          <w:numId w:val="2"/>
        </w:numPr>
        <w:spacing w:after="0" w:line="240" w:lineRule="auto"/>
        <w:rPr>
          <w:rFonts w:ascii="Gentium" w:hAnsi="Gentium"/>
          <w:sz w:val="24"/>
          <w:szCs w:val="24"/>
        </w:rPr>
      </w:pPr>
      <w:r>
        <w:rPr>
          <w:rFonts w:ascii="Gentium" w:hAnsi="Gentium"/>
          <w:sz w:val="24"/>
          <w:szCs w:val="24"/>
        </w:rPr>
        <w:t>Time</w:t>
      </w:r>
    </w:p>
    <w:p w:rsidR="006F3DFF" w:rsidRPr="006F3DFF" w:rsidRDefault="006F3DFF" w:rsidP="006F3DFF">
      <w:pPr>
        <w:pStyle w:val="ListParagraph"/>
        <w:spacing w:after="0" w:line="240" w:lineRule="auto"/>
        <w:ind w:left="360"/>
        <w:rPr>
          <w:rFonts w:ascii="Gentium" w:hAnsi="Gentium"/>
          <w:sz w:val="24"/>
          <w:szCs w:val="24"/>
        </w:rPr>
      </w:pPr>
    </w:p>
    <w:p w:rsidR="006F3DFF" w:rsidRDefault="006F3DFF" w:rsidP="006F3EE9">
      <w:pPr>
        <w:spacing w:after="0" w:line="240" w:lineRule="auto"/>
        <w:rPr>
          <w:rFonts w:ascii="Gentium" w:hAnsi="Gentium"/>
          <w:sz w:val="24"/>
          <w:szCs w:val="24"/>
        </w:rPr>
      </w:pPr>
      <w:r>
        <w:rPr>
          <w:rFonts w:ascii="Gentium" w:hAnsi="Gentium"/>
          <w:sz w:val="24"/>
          <w:szCs w:val="24"/>
        </w:rPr>
        <w:t xml:space="preserve">Certain prepositions in compound verbs “may serve…to mark the relation of </w:t>
      </w:r>
      <w:r>
        <w:rPr>
          <w:rFonts w:ascii="Gentium" w:hAnsi="Gentium"/>
          <w:i/>
          <w:iCs/>
          <w:sz w:val="24"/>
          <w:szCs w:val="24"/>
        </w:rPr>
        <w:t>time</w:t>
      </w:r>
      <w:r>
        <w:rPr>
          <w:rFonts w:ascii="Gentium" w:hAnsi="Gentium"/>
          <w:sz w:val="24"/>
          <w:szCs w:val="24"/>
        </w:rPr>
        <w:t xml:space="preserve"> which exists between two things, or to indicate that one of them may be the antecedent of the other” (55).</w:t>
      </w:r>
    </w:p>
    <w:p w:rsidR="006F3DFF" w:rsidRDefault="006F3DFF" w:rsidP="006F3EE9">
      <w:pPr>
        <w:spacing w:after="0" w:line="240" w:lineRule="auto"/>
        <w:rPr>
          <w:rFonts w:ascii="Gentium" w:hAnsi="Gentium"/>
          <w:sz w:val="24"/>
          <w:szCs w:val="24"/>
        </w:rPr>
      </w:pPr>
    </w:p>
    <w:p w:rsidR="006F3DFF" w:rsidRDefault="00BB10EA" w:rsidP="006F3EE9">
      <w:pPr>
        <w:spacing w:after="0" w:line="240" w:lineRule="auto"/>
        <w:rPr>
          <w:rFonts w:ascii="Gentium" w:hAnsi="Gentium"/>
          <w:sz w:val="24"/>
          <w:szCs w:val="24"/>
        </w:rPr>
      </w:pPr>
      <w:r>
        <w:rPr>
          <w:rFonts w:ascii="Gentium" w:hAnsi="Gentium"/>
          <w:sz w:val="24"/>
          <w:szCs w:val="24"/>
        </w:rPr>
        <w:t>See his example of</w:t>
      </w:r>
      <w:r w:rsidR="006F3DFF">
        <w:rPr>
          <w:rFonts w:ascii="Gentium" w:hAnsi="Gentium"/>
          <w:sz w:val="24"/>
          <w:szCs w:val="24"/>
        </w:rPr>
        <w:t xml:space="preserve"> </w:t>
      </w:r>
      <w:r w:rsidR="006F3DFF">
        <w:rPr>
          <w:rFonts w:ascii="Gentium" w:hAnsi="Gentium"/>
          <w:sz w:val="24"/>
          <w:szCs w:val="24"/>
          <w:lang w:val="el-GR"/>
        </w:rPr>
        <w:t>προορί</w:t>
      </w:r>
      <w:r w:rsidR="00361FF7">
        <w:rPr>
          <w:rFonts w:ascii="Gentium" w:hAnsi="Gentium"/>
          <w:sz w:val="24"/>
          <w:szCs w:val="24"/>
          <w:lang w:val="el-GR"/>
        </w:rPr>
        <w:t>ζειν</w:t>
      </w:r>
      <w:r w:rsidR="00361FF7" w:rsidRPr="00361FF7">
        <w:rPr>
          <w:rFonts w:ascii="Gentium" w:hAnsi="Gentium"/>
          <w:sz w:val="24"/>
          <w:szCs w:val="24"/>
        </w:rPr>
        <w:t xml:space="preserve"> </w:t>
      </w:r>
      <w:r w:rsidR="00361FF7">
        <w:rPr>
          <w:rFonts w:ascii="Gentium" w:hAnsi="Gentium"/>
          <w:sz w:val="24"/>
          <w:szCs w:val="24"/>
        </w:rPr>
        <w:t xml:space="preserve">in Rom 8:29, 30 </w:t>
      </w:r>
      <w:r>
        <w:rPr>
          <w:rFonts w:ascii="Gentium" w:hAnsi="Gentium"/>
          <w:sz w:val="24"/>
          <w:szCs w:val="24"/>
        </w:rPr>
        <w:t>for an interesting discussion</w:t>
      </w:r>
      <w:r w:rsidR="00180382">
        <w:rPr>
          <w:rFonts w:ascii="Gentium" w:hAnsi="Gentium"/>
          <w:sz w:val="24"/>
          <w:szCs w:val="24"/>
        </w:rPr>
        <w:t>.</w:t>
      </w:r>
    </w:p>
    <w:p w:rsidR="00361FF7" w:rsidRDefault="00361FF7" w:rsidP="006F3EE9">
      <w:pPr>
        <w:spacing w:after="0" w:line="240" w:lineRule="auto"/>
        <w:rPr>
          <w:rFonts w:ascii="Gentium" w:hAnsi="Gentium"/>
          <w:sz w:val="24"/>
          <w:szCs w:val="24"/>
        </w:rPr>
      </w:pPr>
    </w:p>
    <w:p w:rsidR="00361FF7" w:rsidRDefault="00361FF7" w:rsidP="00361FF7">
      <w:pPr>
        <w:pStyle w:val="ListParagraph"/>
        <w:numPr>
          <w:ilvl w:val="0"/>
          <w:numId w:val="2"/>
        </w:numPr>
        <w:spacing w:after="0" w:line="240" w:lineRule="auto"/>
        <w:rPr>
          <w:rFonts w:ascii="Gentium" w:hAnsi="Gentium"/>
          <w:sz w:val="24"/>
          <w:szCs w:val="24"/>
        </w:rPr>
      </w:pPr>
      <w:r>
        <w:rPr>
          <w:rFonts w:ascii="Gentium" w:hAnsi="Gentium"/>
          <w:sz w:val="24"/>
          <w:szCs w:val="24"/>
        </w:rPr>
        <w:t>Place</w:t>
      </w:r>
    </w:p>
    <w:p w:rsidR="00361FF7" w:rsidRDefault="00361FF7" w:rsidP="00361FF7">
      <w:pPr>
        <w:spacing w:after="0" w:line="240" w:lineRule="auto"/>
        <w:rPr>
          <w:rFonts w:ascii="Gentium" w:hAnsi="Gentium"/>
          <w:sz w:val="24"/>
          <w:szCs w:val="24"/>
        </w:rPr>
      </w:pPr>
    </w:p>
    <w:p w:rsidR="00361FF7" w:rsidRPr="003A5669" w:rsidRDefault="00361FF7" w:rsidP="005352D4">
      <w:pPr>
        <w:spacing w:after="0" w:line="240" w:lineRule="auto"/>
        <w:rPr>
          <w:rFonts w:ascii="Gentium" w:hAnsi="Gentium"/>
          <w:sz w:val="24"/>
          <w:szCs w:val="24"/>
        </w:rPr>
      </w:pPr>
      <w:r>
        <w:rPr>
          <w:rFonts w:ascii="Gentium" w:hAnsi="Gentium"/>
          <w:sz w:val="24"/>
          <w:szCs w:val="24"/>
        </w:rPr>
        <w:t>Tittman</w:t>
      </w:r>
      <w:r w:rsidR="005352D4">
        <w:rPr>
          <w:rFonts w:ascii="Gentium" w:hAnsi="Gentium"/>
          <w:sz w:val="24"/>
          <w:szCs w:val="24"/>
        </w:rPr>
        <w:t>n</w:t>
      </w:r>
      <w:r>
        <w:rPr>
          <w:rFonts w:ascii="Gentium" w:hAnsi="Gentium"/>
          <w:sz w:val="24"/>
          <w:szCs w:val="24"/>
        </w:rPr>
        <w:t xml:space="preserve"> maintains that the relation of place or space is three-fold in that “we may conceive if </w:t>
      </w:r>
      <w:proofErr w:type="spellStart"/>
      <w:r>
        <w:rPr>
          <w:rFonts w:ascii="Gentium" w:hAnsi="Gentium"/>
          <w:sz w:val="24"/>
          <w:szCs w:val="24"/>
        </w:rPr>
        <w:t>any thing</w:t>
      </w:r>
      <w:proofErr w:type="spellEnd"/>
      <w:r>
        <w:rPr>
          <w:rFonts w:ascii="Gentium" w:hAnsi="Gentium"/>
          <w:sz w:val="24"/>
          <w:szCs w:val="24"/>
        </w:rPr>
        <w:t xml:space="preserve"> as </w:t>
      </w:r>
      <w:r>
        <w:rPr>
          <w:rFonts w:ascii="Gentium" w:hAnsi="Gentium"/>
          <w:i/>
          <w:iCs/>
          <w:sz w:val="24"/>
          <w:szCs w:val="24"/>
        </w:rPr>
        <w:t>in</w:t>
      </w:r>
      <w:r>
        <w:rPr>
          <w:rFonts w:ascii="Gentium" w:hAnsi="Gentium"/>
          <w:sz w:val="24"/>
          <w:szCs w:val="24"/>
        </w:rPr>
        <w:t xml:space="preserve"> a place, as being removed </w:t>
      </w:r>
      <w:r>
        <w:rPr>
          <w:rFonts w:ascii="Gentium" w:hAnsi="Gentium"/>
          <w:i/>
          <w:iCs/>
          <w:sz w:val="24"/>
          <w:szCs w:val="24"/>
        </w:rPr>
        <w:t>from</w:t>
      </w:r>
      <w:r>
        <w:rPr>
          <w:rFonts w:ascii="Gentium" w:hAnsi="Gentium"/>
          <w:sz w:val="24"/>
          <w:szCs w:val="24"/>
        </w:rPr>
        <w:t xml:space="preserve"> a place, and as coming </w:t>
      </w:r>
      <w:r>
        <w:rPr>
          <w:rFonts w:ascii="Gentium" w:hAnsi="Gentium"/>
          <w:i/>
          <w:iCs/>
          <w:sz w:val="24"/>
          <w:szCs w:val="24"/>
        </w:rPr>
        <w:t xml:space="preserve">to </w:t>
      </w:r>
      <w:r>
        <w:rPr>
          <w:rFonts w:ascii="Gentium" w:hAnsi="Gentium"/>
          <w:sz w:val="24"/>
          <w:szCs w:val="24"/>
        </w:rPr>
        <w:t xml:space="preserve">a place. It is the office also of the prepositions, when joined with verbs, to indicate one or the other of these relations. Nothing can be more obvious than this; for who will deny that the compound verbs </w:t>
      </w:r>
      <w:r>
        <w:rPr>
          <w:rFonts w:ascii="Gentium" w:hAnsi="Gentium"/>
          <w:sz w:val="24"/>
          <w:szCs w:val="24"/>
          <w:lang w:val="el-GR"/>
        </w:rPr>
        <w:t>ἀναβαίνειν</w:t>
      </w:r>
      <w:r w:rsidRPr="00361FF7">
        <w:rPr>
          <w:rFonts w:ascii="Gentium" w:hAnsi="Gentium"/>
          <w:sz w:val="24"/>
          <w:szCs w:val="24"/>
        </w:rPr>
        <w:t xml:space="preserve">, </w:t>
      </w:r>
      <w:r>
        <w:rPr>
          <w:rFonts w:ascii="Gentium" w:hAnsi="Gentium"/>
          <w:sz w:val="24"/>
          <w:szCs w:val="24"/>
          <w:lang w:val="el-GR"/>
        </w:rPr>
        <w:t>καταβαίνειν</w:t>
      </w:r>
      <w:r w:rsidRPr="00361FF7">
        <w:rPr>
          <w:rFonts w:ascii="Gentium" w:hAnsi="Gentium"/>
          <w:sz w:val="24"/>
          <w:szCs w:val="24"/>
        </w:rPr>
        <w:t xml:space="preserve">, </w:t>
      </w:r>
      <w:r>
        <w:rPr>
          <w:rFonts w:ascii="Gentium" w:hAnsi="Gentium"/>
          <w:sz w:val="24"/>
          <w:szCs w:val="24"/>
          <w:lang w:val="el-GR"/>
        </w:rPr>
        <w:t>ἀναβάλλειν</w:t>
      </w:r>
      <w:r w:rsidRPr="00361FF7">
        <w:rPr>
          <w:rFonts w:ascii="Gentium" w:hAnsi="Gentium"/>
          <w:sz w:val="24"/>
          <w:szCs w:val="24"/>
        </w:rPr>
        <w:t xml:space="preserve">, </w:t>
      </w:r>
      <w:r>
        <w:rPr>
          <w:rFonts w:ascii="Gentium" w:hAnsi="Gentium"/>
          <w:sz w:val="24"/>
          <w:szCs w:val="24"/>
          <w:lang w:val="el-GR"/>
        </w:rPr>
        <w:t>καταβάλλειν</w:t>
      </w:r>
      <w:r w:rsidRPr="00361FF7">
        <w:rPr>
          <w:rFonts w:ascii="Gentium" w:hAnsi="Gentium"/>
          <w:sz w:val="24"/>
          <w:szCs w:val="24"/>
        </w:rPr>
        <w:t xml:space="preserve">, </w:t>
      </w:r>
      <w:r>
        <w:rPr>
          <w:rFonts w:ascii="Gentium" w:hAnsi="Gentium"/>
          <w:sz w:val="24"/>
          <w:szCs w:val="24"/>
          <w:lang w:val="el-GR"/>
        </w:rPr>
        <w:t>ἀνάγειν</w:t>
      </w:r>
      <w:r w:rsidRPr="00361FF7">
        <w:rPr>
          <w:rFonts w:ascii="Gentium" w:hAnsi="Gentium"/>
          <w:sz w:val="24"/>
          <w:szCs w:val="24"/>
        </w:rPr>
        <w:t xml:space="preserve">, </w:t>
      </w:r>
      <w:r>
        <w:rPr>
          <w:rFonts w:ascii="Gentium" w:hAnsi="Gentium"/>
          <w:sz w:val="24"/>
          <w:szCs w:val="24"/>
          <w:lang w:val="el-GR"/>
        </w:rPr>
        <w:t>κατάγειν</w:t>
      </w:r>
      <w:r w:rsidRPr="00361FF7">
        <w:rPr>
          <w:rFonts w:ascii="Gentium" w:hAnsi="Gentium"/>
          <w:sz w:val="24"/>
          <w:szCs w:val="24"/>
        </w:rPr>
        <w:t xml:space="preserve">, </w:t>
      </w:r>
      <w:r>
        <w:rPr>
          <w:rFonts w:ascii="Gentium" w:hAnsi="Gentium"/>
          <w:sz w:val="24"/>
          <w:szCs w:val="24"/>
          <w:lang w:val="el-GR"/>
        </w:rPr>
        <w:t>ἀπέρ</w:t>
      </w:r>
      <w:r w:rsidR="00CE4B90">
        <w:rPr>
          <w:rFonts w:ascii="Gentium" w:hAnsi="Gentium"/>
          <w:sz w:val="24"/>
          <w:szCs w:val="24"/>
          <w:lang w:val="el-GR"/>
        </w:rPr>
        <w:t>χεσθαι</w:t>
      </w:r>
      <w:r w:rsidR="00CE4B90" w:rsidRPr="00CE4B90">
        <w:rPr>
          <w:rFonts w:ascii="Gentium" w:hAnsi="Gentium"/>
          <w:sz w:val="24"/>
          <w:szCs w:val="24"/>
        </w:rPr>
        <w:t xml:space="preserve">, </w:t>
      </w:r>
      <w:r w:rsidR="00CE4B90">
        <w:rPr>
          <w:rFonts w:ascii="Gentium" w:hAnsi="Gentium"/>
          <w:sz w:val="24"/>
          <w:szCs w:val="24"/>
          <w:lang w:val="el-GR"/>
        </w:rPr>
        <w:t>προσερχεσθαι</w:t>
      </w:r>
      <w:r w:rsidR="00CE4B90" w:rsidRPr="00CE4B90">
        <w:rPr>
          <w:rFonts w:ascii="Gentium" w:hAnsi="Gentium"/>
          <w:sz w:val="24"/>
          <w:szCs w:val="24"/>
        </w:rPr>
        <w:t>, signify more than the corresponding simple ones?</w:t>
      </w:r>
      <w:r>
        <w:rPr>
          <w:rFonts w:ascii="Gentium" w:hAnsi="Gentium"/>
          <w:sz w:val="24"/>
          <w:szCs w:val="24"/>
        </w:rPr>
        <w:t>” (55).</w:t>
      </w:r>
      <w:r w:rsidR="003A5669" w:rsidRPr="003A5669">
        <w:rPr>
          <w:rFonts w:ascii="Gentium" w:hAnsi="Gentium"/>
          <w:sz w:val="24"/>
          <w:szCs w:val="24"/>
        </w:rPr>
        <w:t xml:space="preserve"> However he argues that these compounds do not denote a change of meaning but relation. Again, the tension between those who see no change at all with the affixing of the preposition miss this issue of relation, he argues. He writes, in opposition to such interpreters,</w:t>
      </w:r>
    </w:p>
    <w:p w:rsidR="003A5669" w:rsidRPr="003A5669" w:rsidRDefault="003A5669" w:rsidP="003A5669">
      <w:pPr>
        <w:spacing w:after="0" w:line="240" w:lineRule="auto"/>
        <w:rPr>
          <w:rFonts w:ascii="Gentium" w:hAnsi="Gentium"/>
          <w:sz w:val="24"/>
          <w:szCs w:val="24"/>
        </w:rPr>
      </w:pPr>
    </w:p>
    <w:p w:rsidR="003A5669" w:rsidRPr="001D1A0B" w:rsidRDefault="004C214F" w:rsidP="00180382">
      <w:pPr>
        <w:spacing w:after="0" w:line="240" w:lineRule="auto"/>
        <w:ind w:left="360"/>
        <w:rPr>
          <w:rFonts w:ascii="Gentium" w:hAnsi="Gentium"/>
          <w:sz w:val="24"/>
          <w:szCs w:val="24"/>
        </w:rPr>
      </w:pPr>
      <w:r w:rsidRPr="004C214F">
        <w:rPr>
          <w:rFonts w:ascii="Gentium" w:hAnsi="Gentium"/>
          <w:sz w:val="24"/>
          <w:szCs w:val="24"/>
        </w:rPr>
        <w:t>A</w:t>
      </w:r>
      <w:r w:rsidR="003A5669" w:rsidRPr="003A5669">
        <w:rPr>
          <w:rFonts w:ascii="Gentium" w:hAnsi="Gentium"/>
          <w:sz w:val="24"/>
          <w:szCs w:val="24"/>
        </w:rPr>
        <w:t>lthough the simple verb contains the notion of the same thing, so that whether the simple or compound verb be employed the mind receives the same general idea, and on this accoun</w:t>
      </w:r>
      <w:r w:rsidR="001D1A0B" w:rsidRPr="001D1A0B">
        <w:rPr>
          <w:rFonts w:ascii="Gentium" w:hAnsi="Gentium"/>
          <w:sz w:val="24"/>
          <w:szCs w:val="24"/>
        </w:rPr>
        <w:t xml:space="preserve">t in many phrases both the simple and compound verbs may be used promiscuously; </w:t>
      </w:r>
      <w:r w:rsidR="00180382">
        <w:rPr>
          <w:rFonts w:ascii="Gentium" w:hAnsi="Gentium"/>
          <w:sz w:val="24"/>
          <w:szCs w:val="24"/>
        </w:rPr>
        <w:t>y</w:t>
      </w:r>
      <w:r w:rsidR="001D1A0B" w:rsidRPr="001D1A0B">
        <w:rPr>
          <w:rFonts w:ascii="Gentium" w:hAnsi="Gentium"/>
          <w:sz w:val="24"/>
          <w:szCs w:val="24"/>
        </w:rPr>
        <w:t>et this does not take place because the compound does not signify something more than the simple verb, but because the true force and meaning which the simple verb here expresses, is gathered from the other words of the sentence, or because the use of the simple verb, as is often the case, imparts strength to the expression (56).</w:t>
      </w:r>
    </w:p>
    <w:p w:rsidR="001D1A0B" w:rsidRPr="004C214F" w:rsidRDefault="001D1A0B" w:rsidP="001D1A0B">
      <w:pPr>
        <w:spacing w:after="0" w:line="240" w:lineRule="auto"/>
        <w:rPr>
          <w:rFonts w:ascii="Gentium" w:hAnsi="Gentium"/>
          <w:sz w:val="24"/>
          <w:szCs w:val="24"/>
        </w:rPr>
      </w:pPr>
    </w:p>
    <w:p w:rsidR="001D1A0B" w:rsidRPr="004C214F" w:rsidRDefault="001D1A0B" w:rsidP="004C214F">
      <w:pPr>
        <w:spacing w:after="0" w:line="240" w:lineRule="auto"/>
        <w:rPr>
          <w:rFonts w:ascii="Gentium" w:hAnsi="Gentium"/>
          <w:sz w:val="24"/>
          <w:szCs w:val="24"/>
        </w:rPr>
      </w:pPr>
      <w:r w:rsidRPr="001D1A0B">
        <w:rPr>
          <w:rFonts w:ascii="Gentium" w:hAnsi="Gentium"/>
          <w:sz w:val="24"/>
          <w:szCs w:val="24"/>
        </w:rPr>
        <w:t>In other words</w:t>
      </w:r>
      <w:r w:rsidR="004C214F" w:rsidRPr="004C214F">
        <w:rPr>
          <w:rFonts w:ascii="Gentium" w:hAnsi="Gentium"/>
          <w:sz w:val="24"/>
          <w:szCs w:val="24"/>
        </w:rPr>
        <w:t>, Tittmann is arguing that</w:t>
      </w:r>
      <w:r w:rsidRPr="001D1A0B">
        <w:rPr>
          <w:rFonts w:ascii="Gentium" w:hAnsi="Gentium"/>
          <w:sz w:val="24"/>
          <w:szCs w:val="24"/>
        </w:rPr>
        <w:t xml:space="preserve"> </w:t>
      </w:r>
      <w:r w:rsidR="004C214F" w:rsidRPr="004C214F">
        <w:rPr>
          <w:rFonts w:ascii="Gentium" w:hAnsi="Gentium"/>
          <w:sz w:val="24"/>
          <w:szCs w:val="24"/>
        </w:rPr>
        <w:t xml:space="preserve">it is </w:t>
      </w:r>
      <w:r w:rsidRPr="001D1A0B">
        <w:rPr>
          <w:rFonts w:ascii="Gentium" w:hAnsi="Gentium"/>
          <w:sz w:val="24"/>
          <w:szCs w:val="24"/>
        </w:rPr>
        <w:t>the context</w:t>
      </w:r>
      <w:r w:rsidR="004C214F" w:rsidRPr="004C214F">
        <w:rPr>
          <w:rFonts w:ascii="Gentium" w:hAnsi="Gentium"/>
          <w:sz w:val="24"/>
          <w:szCs w:val="24"/>
        </w:rPr>
        <w:t xml:space="preserve"> that</w:t>
      </w:r>
      <w:r w:rsidRPr="001D1A0B">
        <w:rPr>
          <w:rFonts w:ascii="Gentium" w:hAnsi="Gentium"/>
          <w:sz w:val="24"/>
          <w:szCs w:val="24"/>
        </w:rPr>
        <w:t xml:space="preserve"> is supplying what some often thin</w:t>
      </w:r>
      <w:r w:rsidR="004C214F" w:rsidRPr="004C214F">
        <w:rPr>
          <w:rFonts w:ascii="Gentium" w:hAnsi="Gentium"/>
          <w:sz w:val="24"/>
          <w:szCs w:val="24"/>
        </w:rPr>
        <w:t>k</w:t>
      </w:r>
      <w:r w:rsidR="004C214F">
        <w:rPr>
          <w:rFonts w:ascii="Gentium" w:hAnsi="Gentium"/>
          <w:sz w:val="24"/>
          <w:szCs w:val="24"/>
        </w:rPr>
        <w:t xml:space="preserve"> the compound verb is supplying</w:t>
      </w:r>
      <w:r w:rsidR="004C214F" w:rsidRPr="004C214F">
        <w:rPr>
          <w:rFonts w:ascii="Gentium" w:hAnsi="Gentium"/>
          <w:sz w:val="24"/>
          <w:szCs w:val="24"/>
        </w:rPr>
        <w:t>. Most would appreciate such a minimalist approach to Greek studies.</w:t>
      </w:r>
    </w:p>
    <w:p w:rsidR="003A5669" w:rsidRPr="003A5669" w:rsidRDefault="003A5669" w:rsidP="003A5669">
      <w:pPr>
        <w:spacing w:after="0" w:line="240" w:lineRule="auto"/>
        <w:rPr>
          <w:rFonts w:ascii="Gentium" w:hAnsi="Gentium"/>
          <w:sz w:val="24"/>
          <w:szCs w:val="24"/>
        </w:rPr>
      </w:pPr>
      <w:r w:rsidRPr="003A5669">
        <w:rPr>
          <w:rFonts w:ascii="Gentium" w:hAnsi="Gentium"/>
          <w:sz w:val="24"/>
          <w:szCs w:val="24"/>
        </w:rPr>
        <w:tab/>
      </w:r>
    </w:p>
    <w:p w:rsidR="003A5669" w:rsidRPr="003A5669" w:rsidRDefault="00CE4B90" w:rsidP="004C214F">
      <w:pPr>
        <w:spacing w:after="0" w:line="240" w:lineRule="auto"/>
        <w:rPr>
          <w:rFonts w:ascii="Gentium" w:hAnsi="Gentium"/>
          <w:sz w:val="24"/>
          <w:szCs w:val="24"/>
        </w:rPr>
      </w:pPr>
      <w:r w:rsidRPr="00CE4B90">
        <w:rPr>
          <w:rFonts w:ascii="Gentium" w:hAnsi="Gentium"/>
          <w:sz w:val="24"/>
          <w:szCs w:val="24"/>
        </w:rPr>
        <w:t>See pages 56-60 for examples</w:t>
      </w:r>
      <w:r w:rsidR="003A5669" w:rsidRPr="003A5669">
        <w:rPr>
          <w:rFonts w:ascii="Gentium" w:hAnsi="Gentium"/>
          <w:sz w:val="24"/>
          <w:szCs w:val="24"/>
        </w:rPr>
        <w:t xml:space="preserve"> </w:t>
      </w:r>
      <w:r w:rsidR="004C214F" w:rsidRPr="004C214F">
        <w:rPr>
          <w:rFonts w:ascii="Gentium" w:hAnsi="Gentium"/>
          <w:sz w:val="24"/>
          <w:szCs w:val="24"/>
        </w:rPr>
        <w:t>regarding</w:t>
      </w:r>
      <w:r w:rsidR="003A5669" w:rsidRPr="003A5669">
        <w:rPr>
          <w:rFonts w:ascii="Gentium" w:hAnsi="Gentium"/>
          <w:sz w:val="24"/>
          <w:szCs w:val="24"/>
        </w:rPr>
        <w:t xml:space="preserve"> the </w:t>
      </w:r>
      <w:r w:rsidR="004C214F" w:rsidRPr="003A5669">
        <w:rPr>
          <w:rFonts w:ascii="Gentium" w:hAnsi="Gentium"/>
          <w:sz w:val="24"/>
          <w:szCs w:val="24"/>
        </w:rPr>
        <w:t>relation</w:t>
      </w:r>
      <w:r w:rsidR="003A5669" w:rsidRPr="003A5669">
        <w:rPr>
          <w:rFonts w:ascii="Gentium" w:hAnsi="Gentium"/>
          <w:sz w:val="24"/>
          <w:szCs w:val="24"/>
        </w:rPr>
        <w:t xml:space="preserve"> of time</w:t>
      </w:r>
      <w:r w:rsidRPr="00CE4B90">
        <w:rPr>
          <w:rFonts w:ascii="Gentium" w:hAnsi="Gentium"/>
          <w:sz w:val="24"/>
          <w:szCs w:val="24"/>
        </w:rPr>
        <w:t xml:space="preserve">. </w:t>
      </w:r>
    </w:p>
    <w:p w:rsidR="003A5669" w:rsidRPr="003A5669" w:rsidRDefault="003A5669" w:rsidP="00361FF7">
      <w:pPr>
        <w:spacing w:after="0" w:line="240" w:lineRule="auto"/>
        <w:rPr>
          <w:rFonts w:ascii="Gentium" w:hAnsi="Gentium"/>
          <w:sz w:val="24"/>
          <w:szCs w:val="24"/>
        </w:rPr>
      </w:pPr>
    </w:p>
    <w:p w:rsidR="00CE4B90" w:rsidRPr="00CE4B90" w:rsidRDefault="00CE4B90" w:rsidP="00CE4B90">
      <w:pPr>
        <w:pStyle w:val="ListParagraph"/>
        <w:numPr>
          <w:ilvl w:val="0"/>
          <w:numId w:val="2"/>
        </w:numPr>
        <w:spacing w:after="0" w:line="240" w:lineRule="auto"/>
        <w:rPr>
          <w:rFonts w:ascii="Gentium" w:hAnsi="Gentium"/>
          <w:sz w:val="24"/>
          <w:szCs w:val="24"/>
          <w:lang w:val="el-GR"/>
        </w:rPr>
      </w:pPr>
      <w:r>
        <w:rPr>
          <w:rFonts w:ascii="Gentium" w:hAnsi="Gentium"/>
          <w:sz w:val="24"/>
          <w:szCs w:val="24"/>
          <w:lang w:val="el-GR"/>
        </w:rPr>
        <w:t>Cause and Effect</w:t>
      </w:r>
    </w:p>
    <w:p w:rsidR="00361FF7" w:rsidRDefault="00361FF7" w:rsidP="00361FF7">
      <w:pPr>
        <w:spacing w:after="0" w:line="240" w:lineRule="auto"/>
        <w:rPr>
          <w:rFonts w:ascii="Gentium" w:hAnsi="Gentium"/>
          <w:sz w:val="24"/>
          <w:szCs w:val="24"/>
          <w:lang w:val="el-GR"/>
        </w:rPr>
      </w:pPr>
    </w:p>
    <w:p w:rsidR="004C214F" w:rsidRPr="00B91B7A" w:rsidRDefault="004C214F" w:rsidP="00B91B7A">
      <w:pPr>
        <w:spacing w:after="0" w:line="240" w:lineRule="auto"/>
        <w:rPr>
          <w:rFonts w:ascii="Gentium" w:hAnsi="Gentium"/>
          <w:sz w:val="24"/>
          <w:szCs w:val="24"/>
        </w:rPr>
      </w:pPr>
      <w:r w:rsidRPr="004C214F">
        <w:rPr>
          <w:rFonts w:ascii="Gentium" w:hAnsi="Gentium"/>
          <w:sz w:val="24"/>
          <w:szCs w:val="24"/>
        </w:rPr>
        <w:t>Tittmann argues that this category is so extensive that it is not surprising that many errors occur by the hands of interpreters who</w:t>
      </w:r>
      <w:r w:rsidR="00B91B7A" w:rsidRPr="00B91B7A">
        <w:rPr>
          <w:rFonts w:ascii="Gentium" w:hAnsi="Gentium"/>
          <w:sz w:val="24"/>
          <w:szCs w:val="24"/>
        </w:rPr>
        <w:t xml:space="preserve"> seek to explain it. He explains it as ‘‘</w:t>
      </w:r>
      <w:r w:rsidR="00B91B7A">
        <w:rPr>
          <w:rFonts w:ascii="Gentium" w:hAnsi="Gentium"/>
          <w:sz w:val="24"/>
          <w:szCs w:val="24"/>
        </w:rPr>
        <w:t xml:space="preserve">that relation, </w:t>
      </w:r>
      <w:r w:rsidR="00B91B7A" w:rsidRPr="00B91B7A">
        <w:rPr>
          <w:rFonts w:ascii="Gentium" w:hAnsi="Gentium"/>
          <w:sz w:val="24"/>
          <w:szCs w:val="24"/>
        </w:rPr>
        <w:t xml:space="preserve">in which the thing signified by the verb, whether action or condition, stands connected either </w:t>
      </w:r>
      <w:r w:rsidR="00B91B7A" w:rsidRPr="00B91B7A">
        <w:rPr>
          <w:rFonts w:ascii="Gentium" w:hAnsi="Gentium"/>
          <w:sz w:val="24"/>
          <w:szCs w:val="24"/>
        </w:rPr>
        <w:lastRenderedPageBreak/>
        <w:t>with the object of the verb or with the person or thing of which the condition or action expressed by the verb is predicated, i. e. the subject of the verb,’’</w:t>
      </w:r>
      <w:r w:rsidR="005352D4">
        <w:rPr>
          <w:rFonts w:ascii="Gentium" w:hAnsi="Gentium"/>
          <w:sz w:val="24"/>
          <w:szCs w:val="24"/>
        </w:rPr>
        <w:t xml:space="preserve"> </w:t>
      </w:r>
      <w:r w:rsidR="00B91B7A" w:rsidRPr="00B91B7A">
        <w:rPr>
          <w:rFonts w:ascii="Gentium" w:hAnsi="Gentium"/>
          <w:sz w:val="24"/>
          <w:szCs w:val="24"/>
        </w:rPr>
        <w:t xml:space="preserve">using such examples as </w:t>
      </w:r>
      <w:r w:rsidR="00B91B7A">
        <w:rPr>
          <w:rFonts w:ascii="Gentium" w:hAnsi="Gentium"/>
          <w:sz w:val="24"/>
          <w:szCs w:val="24"/>
          <w:lang w:val="el-GR"/>
        </w:rPr>
        <w:t>καταγγέλλειν</w:t>
      </w:r>
      <w:r w:rsidR="00B91B7A" w:rsidRPr="00B91B7A">
        <w:rPr>
          <w:rFonts w:ascii="Gentium" w:hAnsi="Gentium"/>
          <w:sz w:val="24"/>
          <w:szCs w:val="24"/>
        </w:rPr>
        <w:t xml:space="preserve">, </w:t>
      </w:r>
      <w:r w:rsidR="00B91B7A">
        <w:rPr>
          <w:rFonts w:ascii="Gentium" w:hAnsi="Gentium"/>
          <w:sz w:val="24"/>
          <w:szCs w:val="24"/>
          <w:lang w:val="el-GR"/>
        </w:rPr>
        <w:t>κατακρίνειν</w:t>
      </w:r>
      <w:r w:rsidR="00B91B7A" w:rsidRPr="00B91B7A">
        <w:rPr>
          <w:rFonts w:ascii="Gentium" w:hAnsi="Gentium"/>
          <w:sz w:val="24"/>
          <w:szCs w:val="24"/>
        </w:rPr>
        <w:t xml:space="preserve">, </w:t>
      </w:r>
      <w:r w:rsidR="00B91B7A">
        <w:rPr>
          <w:rFonts w:ascii="Gentium" w:hAnsi="Gentium"/>
          <w:sz w:val="24"/>
          <w:szCs w:val="24"/>
          <w:lang w:val="el-GR"/>
        </w:rPr>
        <w:t>ἐπινεῖν</w:t>
      </w:r>
      <w:r w:rsidR="00B91B7A" w:rsidRPr="00B91B7A">
        <w:rPr>
          <w:rFonts w:ascii="Gentium" w:hAnsi="Gentium"/>
          <w:sz w:val="24"/>
          <w:szCs w:val="24"/>
        </w:rPr>
        <w:t xml:space="preserve">, </w:t>
      </w:r>
      <w:r w:rsidR="00B91B7A">
        <w:rPr>
          <w:rFonts w:ascii="Gentium" w:hAnsi="Gentium"/>
          <w:sz w:val="24"/>
          <w:szCs w:val="24"/>
          <w:lang w:val="el-GR"/>
        </w:rPr>
        <w:t>κατανοεῖν</w:t>
      </w:r>
      <w:r w:rsidR="00B91B7A" w:rsidRPr="00B91B7A">
        <w:rPr>
          <w:rFonts w:ascii="Gentium" w:hAnsi="Gentium"/>
          <w:sz w:val="24"/>
          <w:szCs w:val="24"/>
        </w:rPr>
        <w:t xml:space="preserve">, </w:t>
      </w:r>
      <w:r w:rsidR="00B91B7A">
        <w:rPr>
          <w:rFonts w:ascii="Gentium" w:hAnsi="Gentium"/>
          <w:sz w:val="24"/>
          <w:szCs w:val="24"/>
          <w:lang w:val="el-GR"/>
        </w:rPr>
        <w:t>περινοεῖν</w:t>
      </w:r>
      <w:r w:rsidR="00B91B7A" w:rsidRPr="00B91B7A">
        <w:rPr>
          <w:rFonts w:ascii="Gentium" w:hAnsi="Gentium"/>
          <w:sz w:val="24"/>
          <w:szCs w:val="24"/>
        </w:rPr>
        <w:t xml:space="preserve">, since in all these verbs ‘‘the preposition refers to the person or thing which is the object of the action’’ (62). </w:t>
      </w:r>
    </w:p>
    <w:p w:rsidR="006F3DFF" w:rsidRDefault="006F3DFF" w:rsidP="006F3EE9">
      <w:pPr>
        <w:spacing w:after="0" w:line="240" w:lineRule="auto"/>
        <w:rPr>
          <w:rFonts w:ascii="Gentium" w:hAnsi="Gentium"/>
          <w:sz w:val="24"/>
          <w:szCs w:val="24"/>
        </w:rPr>
      </w:pPr>
    </w:p>
    <w:p w:rsidR="006F3DFF" w:rsidRPr="005352D4" w:rsidRDefault="006F3DFF" w:rsidP="006F3EE9">
      <w:pPr>
        <w:spacing w:after="0" w:line="240" w:lineRule="auto"/>
        <w:rPr>
          <w:rFonts w:ascii="Gentium" w:hAnsi="Gentium"/>
          <w:i/>
          <w:iCs/>
          <w:sz w:val="24"/>
          <w:szCs w:val="24"/>
        </w:rPr>
      </w:pPr>
      <w:r>
        <w:rPr>
          <w:rFonts w:ascii="Gentium" w:hAnsi="Gentium"/>
          <w:i/>
          <w:iCs/>
          <w:sz w:val="24"/>
          <w:szCs w:val="24"/>
        </w:rPr>
        <w:t>Mode</w:t>
      </w:r>
    </w:p>
    <w:p w:rsidR="00CE4B90" w:rsidRPr="005352D4" w:rsidRDefault="00CE4B90" w:rsidP="006F3EE9">
      <w:pPr>
        <w:spacing w:after="0" w:line="240" w:lineRule="auto"/>
        <w:rPr>
          <w:rFonts w:ascii="Gentium" w:hAnsi="Gentium"/>
          <w:i/>
          <w:iCs/>
          <w:sz w:val="24"/>
          <w:szCs w:val="24"/>
        </w:rPr>
      </w:pPr>
    </w:p>
    <w:p w:rsidR="00CE4B90" w:rsidRDefault="00CE4B90" w:rsidP="003C4992">
      <w:pPr>
        <w:spacing w:after="0" w:line="240" w:lineRule="auto"/>
        <w:rPr>
          <w:rFonts w:ascii="Gentium" w:hAnsi="Gentium"/>
          <w:sz w:val="24"/>
          <w:szCs w:val="24"/>
        </w:rPr>
      </w:pPr>
      <w:r w:rsidRPr="005352D4">
        <w:rPr>
          <w:rFonts w:ascii="Gentium" w:hAnsi="Gentium"/>
          <w:sz w:val="24"/>
          <w:szCs w:val="24"/>
        </w:rPr>
        <w:t xml:space="preserve">By </w:t>
      </w:r>
      <w:r w:rsidR="005352D4">
        <w:rPr>
          <w:rFonts w:ascii="Gentium" w:hAnsi="Gentium"/>
          <w:i/>
          <w:iCs/>
          <w:sz w:val="24"/>
          <w:szCs w:val="24"/>
        </w:rPr>
        <w:t>mode</w:t>
      </w:r>
      <w:r w:rsidRPr="005352D4">
        <w:rPr>
          <w:rFonts w:ascii="Gentium" w:hAnsi="Gentium"/>
          <w:sz w:val="24"/>
          <w:szCs w:val="24"/>
        </w:rPr>
        <w:t xml:space="preserve"> Tittmann means </w:t>
      </w:r>
      <w:r w:rsidR="005352D4">
        <w:rPr>
          <w:rFonts w:ascii="Gentium" w:hAnsi="Gentium"/>
          <w:sz w:val="24"/>
          <w:szCs w:val="24"/>
        </w:rPr>
        <w:t xml:space="preserve">“the way or manner in which the thing that is the object of thought or conception, affects the mind” and he argues that prepositions have such a force </w:t>
      </w:r>
      <w:r w:rsidR="009433D6">
        <w:rPr>
          <w:rFonts w:ascii="Gentium" w:hAnsi="Gentium"/>
          <w:sz w:val="24"/>
          <w:szCs w:val="24"/>
        </w:rPr>
        <w:t>in that</w:t>
      </w:r>
      <w:r w:rsidR="007B7020">
        <w:rPr>
          <w:rFonts w:ascii="Gentium" w:hAnsi="Gentium"/>
          <w:sz w:val="24"/>
          <w:szCs w:val="24"/>
        </w:rPr>
        <w:t xml:space="preserve"> </w:t>
      </w:r>
      <w:r w:rsidR="005352D4">
        <w:rPr>
          <w:rFonts w:ascii="Gentium" w:hAnsi="Gentium"/>
          <w:sz w:val="24"/>
          <w:szCs w:val="24"/>
        </w:rPr>
        <w:t>“by changing th</w:t>
      </w:r>
      <w:r w:rsidR="003C4992">
        <w:rPr>
          <w:rFonts w:ascii="Gentium" w:hAnsi="Gentium"/>
          <w:sz w:val="24"/>
          <w:szCs w:val="24"/>
        </w:rPr>
        <w:t xml:space="preserve">e way or manner in which the mind itself is affected they occasion a different mode of conception or of apprehension” </w:t>
      </w:r>
      <w:r w:rsidR="005352D4">
        <w:rPr>
          <w:rFonts w:ascii="Gentium" w:hAnsi="Gentium"/>
          <w:sz w:val="24"/>
          <w:szCs w:val="24"/>
        </w:rPr>
        <w:t xml:space="preserve">(63). </w:t>
      </w:r>
      <w:r w:rsidR="003C4992">
        <w:rPr>
          <w:rFonts w:ascii="Gentium" w:hAnsi="Gentium"/>
          <w:sz w:val="24"/>
          <w:szCs w:val="24"/>
        </w:rPr>
        <w:t xml:space="preserve"> He finds many too numerous to list but mentions a few.</w:t>
      </w:r>
      <w:bookmarkStart w:id="0" w:name="_GoBack"/>
      <w:bookmarkEnd w:id="0"/>
    </w:p>
    <w:p w:rsidR="003C4992" w:rsidRDefault="003C4992" w:rsidP="003C4992">
      <w:pPr>
        <w:spacing w:after="0" w:line="240" w:lineRule="auto"/>
        <w:rPr>
          <w:rFonts w:ascii="Gentium" w:hAnsi="Gentium"/>
          <w:sz w:val="24"/>
          <w:szCs w:val="24"/>
        </w:rPr>
      </w:pPr>
    </w:p>
    <w:p w:rsidR="003C4992" w:rsidRDefault="003C4992" w:rsidP="003C4992">
      <w:pPr>
        <w:pStyle w:val="ListParagraph"/>
        <w:numPr>
          <w:ilvl w:val="0"/>
          <w:numId w:val="4"/>
        </w:numPr>
        <w:spacing w:after="0" w:line="240" w:lineRule="auto"/>
        <w:rPr>
          <w:rFonts w:ascii="Gentium" w:hAnsi="Gentium"/>
          <w:sz w:val="24"/>
          <w:szCs w:val="24"/>
        </w:rPr>
      </w:pPr>
      <w:r>
        <w:rPr>
          <w:rFonts w:ascii="Gentium" w:hAnsi="Gentium"/>
          <w:sz w:val="24"/>
          <w:szCs w:val="24"/>
        </w:rPr>
        <w:t xml:space="preserve">To indicate a special </w:t>
      </w:r>
      <w:r>
        <w:rPr>
          <w:rFonts w:ascii="Gentium" w:hAnsi="Gentium"/>
          <w:i/>
          <w:iCs/>
          <w:sz w:val="24"/>
          <w:szCs w:val="24"/>
        </w:rPr>
        <w:t>inclination</w:t>
      </w:r>
      <w:r>
        <w:rPr>
          <w:rFonts w:ascii="Gentium" w:hAnsi="Gentium"/>
          <w:sz w:val="24"/>
          <w:szCs w:val="24"/>
        </w:rPr>
        <w:t xml:space="preserve">, or desire; e.g. </w:t>
      </w:r>
      <w:r>
        <w:rPr>
          <w:rFonts w:ascii="Gentium" w:hAnsi="Gentium"/>
          <w:sz w:val="24"/>
          <w:szCs w:val="24"/>
          <w:lang w:val="el-GR"/>
        </w:rPr>
        <w:t>καταφιλέω</w:t>
      </w:r>
    </w:p>
    <w:p w:rsidR="003C4992" w:rsidRDefault="003C4992" w:rsidP="003C4992">
      <w:pPr>
        <w:pStyle w:val="ListParagraph"/>
        <w:numPr>
          <w:ilvl w:val="0"/>
          <w:numId w:val="4"/>
        </w:numPr>
        <w:spacing w:after="0" w:line="240" w:lineRule="auto"/>
        <w:rPr>
          <w:rFonts w:ascii="Gentium" w:hAnsi="Gentium"/>
          <w:sz w:val="24"/>
          <w:szCs w:val="24"/>
        </w:rPr>
      </w:pPr>
      <w:r>
        <w:rPr>
          <w:rFonts w:ascii="Gentium" w:hAnsi="Gentium"/>
          <w:sz w:val="24"/>
          <w:szCs w:val="24"/>
        </w:rPr>
        <w:t>To indicate a greater force or degree of action</w:t>
      </w:r>
      <w:r w:rsidRPr="003C4992">
        <w:rPr>
          <w:rFonts w:ascii="Gentium" w:hAnsi="Gentium"/>
          <w:sz w:val="24"/>
          <w:szCs w:val="24"/>
        </w:rPr>
        <w:t xml:space="preserve">; </w:t>
      </w:r>
      <w:r>
        <w:rPr>
          <w:rFonts w:ascii="Gentium" w:hAnsi="Gentium"/>
          <w:sz w:val="24"/>
          <w:szCs w:val="24"/>
        </w:rPr>
        <w:t xml:space="preserve">e.g. </w:t>
      </w:r>
      <w:r>
        <w:rPr>
          <w:rFonts w:ascii="Gentium" w:hAnsi="Gentium"/>
          <w:sz w:val="24"/>
          <w:szCs w:val="24"/>
          <w:lang w:val="el-GR"/>
        </w:rPr>
        <w:t>διά</w:t>
      </w:r>
      <w:r w:rsidRPr="003C4992">
        <w:rPr>
          <w:rFonts w:ascii="Gentium" w:hAnsi="Gentium"/>
          <w:sz w:val="24"/>
          <w:szCs w:val="24"/>
        </w:rPr>
        <w:t xml:space="preserve">  </w:t>
      </w:r>
      <w:r>
        <w:rPr>
          <w:rFonts w:ascii="Gentium" w:hAnsi="Gentium"/>
          <w:sz w:val="24"/>
          <w:szCs w:val="24"/>
          <w:lang w:val="el-GR"/>
        </w:rPr>
        <w:t>διατηρεῖν</w:t>
      </w:r>
      <w:r w:rsidRPr="003C4992">
        <w:rPr>
          <w:rFonts w:ascii="Gentium" w:hAnsi="Gentium"/>
          <w:sz w:val="24"/>
          <w:szCs w:val="24"/>
        </w:rPr>
        <w:t xml:space="preserve">, </w:t>
      </w:r>
      <w:r>
        <w:rPr>
          <w:rFonts w:ascii="Gentium" w:hAnsi="Gentium"/>
          <w:sz w:val="24"/>
          <w:szCs w:val="24"/>
          <w:lang w:val="el-GR"/>
        </w:rPr>
        <w:t>διακουεῖν</w:t>
      </w:r>
      <w:r w:rsidRPr="003C4992">
        <w:rPr>
          <w:rFonts w:ascii="Gentium" w:hAnsi="Gentium"/>
          <w:sz w:val="24"/>
          <w:szCs w:val="24"/>
        </w:rPr>
        <w:t xml:space="preserve">, </w:t>
      </w:r>
      <w:r>
        <w:rPr>
          <w:rFonts w:ascii="Gentium" w:hAnsi="Gentium"/>
          <w:sz w:val="24"/>
          <w:szCs w:val="24"/>
          <w:lang w:val="el-GR"/>
        </w:rPr>
        <w:t>διαπονεῖν</w:t>
      </w:r>
      <w:r w:rsidRPr="003C4992">
        <w:rPr>
          <w:rFonts w:ascii="Gentium" w:hAnsi="Gentium"/>
          <w:sz w:val="24"/>
          <w:szCs w:val="24"/>
        </w:rPr>
        <w:t xml:space="preserve">, </w:t>
      </w:r>
    </w:p>
    <w:p w:rsidR="003C4992" w:rsidRPr="003C4992" w:rsidRDefault="003C4992" w:rsidP="003C4992">
      <w:pPr>
        <w:pStyle w:val="ListParagraph"/>
        <w:numPr>
          <w:ilvl w:val="0"/>
          <w:numId w:val="4"/>
        </w:numPr>
        <w:spacing w:after="0" w:line="240" w:lineRule="auto"/>
        <w:rPr>
          <w:rFonts w:ascii="Gentium" w:hAnsi="Gentium"/>
          <w:sz w:val="24"/>
          <w:szCs w:val="24"/>
        </w:rPr>
      </w:pPr>
      <w:r>
        <w:rPr>
          <w:rFonts w:ascii="Gentium" w:hAnsi="Gentium"/>
          <w:sz w:val="24"/>
          <w:szCs w:val="24"/>
        </w:rPr>
        <w:t xml:space="preserve">To indicate the imparting </w:t>
      </w:r>
      <w:r w:rsidR="00A24EBA">
        <w:rPr>
          <w:rFonts w:ascii="Gentium" w:hAnsi="Gentium"/>
          <w:sz w:val="24"/>
          <w:szCs w:val="24"/>
        </w:rPr>
        <w:t xml:space="preserve">of </w:t>
      </w:r>
      <w:r>
        <w:rPr>
          <w:rFonts w:ascii="Gentium" w:hAnsi="Gentium"/>
          <w:sz w:val="24"/>
          <w:szCs w:val="24"/>
        </w:rPr>
        <w:t>the idea of efficacy</w:t>
      </w:r>
      <w:r w:rsidRPr="003C4992">
        <w:rPr>
          <w:rFonts w:ascii="Gentium" w:hAnsi="Gentium"/>
          <w:sz w:val="24"/>
          <w:szCs w:val="24"/>
        </w:rPr>
        <w:t xml:space="preserve">; </w:t>
      </w:r>
      <w:r>
        <w:rPr>
          <w:rFonts w:ascii="Gentium" w:hAnsi="Gentium"/>
          <w:sz w:val="24"/>
          <w:szCs w:val="24"/>
        </w:rPr>
        <w:t xml:space="preserve">e.g. </w:t>
      </w:r>
      <w:r>
        <w:rPr>
          <w:rFonts w:ascii="Gentium" w:hAnsi="Gentium"/>
          <w:sz w:val="24"/>
          <w:szCs w:val="24"/>
          <w:lang w:val="el-GR"/>
        </w:rPr>
        <w:t>ἀποθνῃσκεῖν</w:t>
      </w:r>
      <w:r w:rsidRPr="003C4992">
        <w:rPr>
          <w:rFonts w:ascii="Gentium" w:hAnsi="Gentium"/>
          <w:sz w:val="24"/>
          <w:szCs w:val="24"/>
        </w:rPr>
        <w:t xml:space="preserve">, </w:t>
      </w:r>
      <w:r>
        <w:rPr>
          <w:rFonts w:ascii="Gentium" w:hAnsi="Gentium"/>
          <w:sz w:val="24"/>
          <w:szCs w:val="24"/>
          <w:lang w:val="el-GR"/>
        </w:rPr>
        <w:t>ἀποθλιβεῖν</w:t>
      </w:r>
      <w:r w:rsidRPr="003C4992">
        <w:rPr>
          <w:rFonts w:ascii="Gentium" w:hAnsi="Gentium"/>
          <w:sz w:val="24"/>
          <w:szCs w:val="24"/>
        </w:rPr>
        <w:t xml:space="preserve">, </w:t>
      </w:r>
      <w:r>
        <w:rPr>
          <w:rFonts w:ascii="Gentium" w:hAnsi="Gentium"/>
          <w:sz w:val="24"/>
          <w:szCs w:val="24"/>
          <w:lang w:val="el-GR"/>
        </w:rPr>
        <w:t>ἐκφυγεῖν</w:t>
      </w:r>
    </w:p>
    <w:p w:rsidR="00CE4B90" w:rsidRDefault="00CE4B90" w:rsidP="006F3EE9">
      <w:pPr>
        <w:spacing w:after="0" w:line="240" w:lineRule="auto"/>
        <w:rPr>
          <w:rFonts w:ascii="Gentium" w:hAnsi="Gentium"/>
          <w:sz w:val="24"/>
          <w:szCs w:val="24"/>
        </w:rPr>
      </w:pPr>
    </w:p>
    <w:p w:rsidR="00742DEF" w:rsidRDefault="00BB10EA" w:rsidP="00BF775F">
      <w:pPr>
        <w:spacing w:after="0" w:line="240" w:lineRule="auto"/>
        <w:rPr>
          <w:rFonts w:ascii="Gentium" w:hAnsi="Gentium"/>
          <w:sz w:val="24"/>
          <w:szCs w:val="24"/>
        </w:rPr>
      </w:pPr>
      <w:r>
        <w:rPr>
          <w:rFonts w:ascii="Gentium" w:hAnsi="Gentium"/>
          <w:sz w:val="24"/>
          <w:szCs w:val="24"/>
        </w:rPr>
        <w:t>This dated article is an attempt to ha</w:t>
      </w:r>
      <w:r w:rsidR="00BF775F">
        <w:rPr>
          <w:rFonts w:ascii="Gentium" w:hAnsi="Gentium"/>
          <w:sz w:val="24"/>
          <w:szCs w:val="24"/>
        </w:rPr>
        <w:t>ndle the issue of prepositions in compound verbs, an issue that still is seemingly not settled, even among Greek scholars. It takes a minimalistic approach to Greek in general and is fair in observing that in some compound verbs, there is a clear change in meaning</w:t>
      </w:r>
      <w:r w:rsidR="00A24EBA">
        <w:rPr>
          <w:rFonts w:ascii="Gentium" w:hAnsi="Gentium"/>
          <w:sz w:val="24"/>
          <w:szCs w:val="24"/>
        </w:rPr>
        <w:t>.</w:t>
      </w:r>
      <w:r w:rsidR="00BF775F">
        <w:rPr>
          <w:rFonts w:ascii="Gentium" w:hAnsi="Gentium"/>
          <w:sz w:val="24"/>
          <w:szCs w:val="24"/>
        </w:rPr>
        <w:t xml:space="preserve"> Yet, for most verbs, it is not a change in meaning but an emphasis that stresses a different relation and mode.</w:t>
      </w:r>
    </w:p>
    <w:p w:rsidR="00BF775F" w:rsidRDefault="00BF775F" w:rsidP="00BF775F">
      <w:pPr>
        <w:spacing w:after="0" w:line="240" w:lineRule="auto"/>
        <w:rPr>
          <w:rFonts w:ascii="Gentium" w:hAnsi="Gentium"/>
          <w:sz w:val="24"/>
          <w:szCs w:val="24"/>
        </w:rPr>
      </w:pPr>
    </w:p>
    <w:p w:rsidR="00BF775F" w:rsidRDefault="00BF775F" w:rsidP="00A24EBA">
      <w:pPr>
        <w:spacing w:after="0" w:line="240" w:lineRule="auto"/>
        <w:rPr>
          <w:rFonts w:ascii="Gentium" w:hAnsi="Gentium"/>
          <w:sz w:val="24"/>
          <w:szCs w:val="24"/>
        </w:rPr>
      </w:pPr>
      <w:r>
        <w:rPr>
          <w:rFonts w:ascii="Gentium" w:hAnsi="Gentium"/>
          <w:sz w:val="24"/>
          <w:szCs w:val="24"/>
        </w:rPr>
        <w:t>The article should be used with some caution given the evolution of Greek studies over the past 200 years, but it is a treatment of the preposition that those who dabble in Greek would be wise to have in their file.</w:t>
      </w:r>
    </w:p>
    <w:p w:rsidR="00180382" w:rsidRDefault="00180382" w:rsidP="00A24EBA">
      <w:pPr>
        <w:spacing w:after="0" w:line="240" w:lineRule="auto"/>
        <w:rPr>
          <w:rFonts w:ascii="Gentium" w:hAnsi="Gentium"/>
          <w:sz w:val="24"/>
          <w:szCs w:val="24"/>
        </w:rPr>
      </w:pPr>
    </w:p>
    <w:p w:rsidR="00180382" w:rsidRDefault="00180382" w:rsidP="00A24EBA">
      <w:pPr>
        <w:spacing w:after="0" w:line="240" w:lineRule="auto"/>
        <w:rPr>
          <w:rFonts w:ascii="Gentium" w:hAnsi="Gentium"/>
          <w:sz w:val="24"/>
          <w:szCs w:val="24"/>
        </w:rPr>
      </w:pPr>
    </w:p>
    <w:p w:rsidR="00180382" w:rsidRDefault="00180382" w:rsidP="00A24EBA">
      <w:pPr>
        <w:spacing w:after="0" w:line="240" w:lineRule="auto"/>
        <w:rPr>
          <w:rFonts w:ascii="Gentium" w:hAnsi="Gentium"/>
          <w:sz w:val="24"/>
          <w:szCs w:val="24"/>
        </w:rPr>
      </w:pPr>
      <w:r>
        <w:rPr>
          <w:rFonts w:ascii="Gentium" w:hAnsi="Gentium"/>
          <w:sz w:val="24"/>
          <w:szCs w:val="24"/>
        </w:rPr>
        <w:t>Dan Fabricatore, PhD.</w:t>
      </w:r>
    </w:p>
    <w:p w:rsidR="00180382" w:rsidRDefault="00BC32AD" w:rsidP="00A24EBA">
      <w:pPr>
        <w:spacing w:after="0" w:line="240" w:lineRule="auto"/>
        <w:rPr>
          <w:rFonts w:ascii="Gentium" w:hAnsi="Gentium"/>
          <w:sz w:val="24"/>
          <w:szCs w:val="24"/>
        </w:rPr>
      </w:pPr>
      <w:hyperlink r:id="rId9" w:history="1">
        <w:r w:rsidR="00180382" w:rsidRPr="00B421AD">
          <w:rPr>
            <w:rStyle w:val="Hyperlink"/>
            <w:rFonts w:ascii="Gentium" w:hAnsi="Gentium"/>
            <w:sz w:val="24"/>
            <w:szCs w:val="24"/>
          </w:rPr>
          <w:t>http://ntdan.wordpress.com</w:t>
        </w:r>
      </w:hyperlink>
    </w:p>
    <w:p w:rsidR="00180382" w:rsidRDefault="00180382" w:rsidP="00A24EBA">
      <w:pPr>
        <w:spacing w:after="0" w:line="240" w:lineRule="auto"/>
        <w:rPr>
          <w:rFonts w:ascii="Gentium" w:hAnsi="Gentium"/>
          <w:sz w:val="24"/>
          <w:szCs w:val="24"/>
        </w:rPr>
      </w:pPr>
    </w:p>
    <w:p w:rsidR="00180382" w:rsidRPr="00742DEF" w:rsidRDefault="00180382" w:rsidP="00A24EBA">
      <w:pPr>
        <w:spacing w:after="0" w:line="240" w:lineRule="auto"/>
        <w:rPr>
          <w:rFonts w:ascii="Gentium" w:hAnsi="Gentium"/>
          <w:sz w:val="24"/>
          <w:szCs w:val="24"/>
        </w:rPr>
      </w:pPr>
    </w:p>
    <w:sectPr w:rsidR="00180382" w:rsidRPr="00742DEF">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32AD" w:rsidRDefault="00BC32AD" w:rsidP="000A62F1">
      <w:pPr>
        <w:spacing w:after="0" w:line="240" w:lineRule="auto"/>
      </w:pPr>
      <w:r>
        <w:separator/>
      </w:r>
    </w:p>
  </w:endnote>
  <w:endnote w:type="continuationSeparator" w:id="0">
    <w:p w:rsidR="00BC32AD" w:rsidRDefault="00BC32AD" w:rsidP="000A62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Gentium">
    <w:panose1 w:val="02000503060000020004"/>
    <w:charset w:val="00"/>
    <w:family w:val="auto"/>
    <w:pitch w:val="variable"/>
    <w:sig w:usb0="E00000FF" w:usb1="00000003"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5918171"/>
      <w:docPartObj>
        <w:docPartGallery w:val="Page Numbers (Bottom of Page)"/>
        <w:docPartUnique/>
      </w:docPartObj>
    </w:sdtPr>
    <w:sdtEndPr>
      <w:rPr>
        <w:noProof/>
      </w:rPr>
    </w:sdtEndPr>
    <w:sdtContent>
      <w:p w:rsidR="009433D6" w:rsidRDefault="009433D6">
        <w:pPr>
          <w:pStyle w:val="Footer"/>
          <w:jc w:val="center"/>
        </w:pPr>
        <w:r>
          <w:fldChar w:fldCharType="begin"/>
        </w:r>
        <w:r>
          <w:instrText xml:space="preserve"> PAGE   \* MERGEFORMAT </w:instrText>
        </w:r>
        <w:r>
          <w:fldChar w:fldCharType="separate"/>
        </w:r>
        <w:r w:rsidR="007B7020">
          <w:rPr>
            <w:noProof/>
          </w:rPr>
          <w:t>4</w:t>
        </w:r>
        <w:r>
          <w:rPr>
            <w:noProof/>
          </w:rPr>
          <w:fldChar w:fldCharType="end"/>
        </w:r>
      </w:p>
    </w:sdtContent>
  </w:sdt>
  <w:p w:rsidR="009433D6" w:rsidRDefault="009433D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32AD" w:rsidRDefault="00BC32AD" w:rsidP="000A62F1">
      <w:pPr>
        <w:spacing w:after="0" w:line="240" w:lineRule="auto"/>
      </w:pPr>
      <w:r>
        <w:separator/>
      </w:r>
    </w:p>
  </w:footnote>
  <w:footnote w:type="continuationSeparator" w:id="0">
    <w:p w:rsidR="00BC32AD" w:rsidRDefault="00BC32AD" w:rsidP="000A62F1">
      <w:pPr>
        <w:spacing w:after="0" w:line="240" w:lineRule="auto"/>
      </w:pPr>
      <w:r>
        <w:continuationSeparator/>
      </w:r>
    </w:p>
  </w:footnote>
  <w:footnote w:id="1">
    <w:p w:rsidR="000A62F1" w:rsidRPr="000A62F1" w:rsidRDefault="000A62F1" w:rsidP="00CE4B90">
      <w:pPr>
        <w:pStyle w:val="FootnoteText"/>
        <w:ind w:firstLine="720"/>
      </w:pPr>
      <w:r>
        <w:rPr>
          <w:rStyle w:val="FootnoteReference"/>
        </w:rPr>
        <w:footnoteRef/>
      </w:r>
      <w:r>
        <w:t xml:space="preserve"> This article was first published in 1814, and was included in </w:t>
      </w:r>
      <w:r>
        <w:rPr>
          <w:i/>
          <w:iCs/>
        </w:rPr>
        <w:t>The Biblical Repository</w:t>
      </w:r>
      <w:r>
        <w:t xml:space="preserve">, v. 3, ed. Edward Robinson (Andover: Flagg, Gould, &amp; Newman, 1833), 45-66. It was retrieved at the </w:t>
      </w:r>
      <w:proofErr w:type="spellStart"/>
      <w:r>
        <w:t>Hathi</w:t>
      </w:r>
      <w:proofErr w:type="spellEnd"/>
      <w:r>
        <w:t xml:space="preserve"> Trust Digital Library@</w:t>
      </w:r>
      <w:r w:rsidRPr="000A62F1">
        <w:t xml:space="preserve"> http://babel.hathitrust.org/cgi/pt?seq=76&amp;view=image&amp;size=100&amp;id=nyp.33433081751921&amp;u=1&amp;num=45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3D6B57"/>
    <w:multiLevelType w:val="hybridMultilevel"/>
    <w:tmpl w:val="C8C6FE2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C633C44"/>
    <w:multiLevelType w:val="hybridMultilevel"/>
    <w:tmpl w:val="9B7098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35221CD2"/>
    <w:multiLevelType w:val="hybridMultilevel"/>
    <w:tmpl w:val="6D1A09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1BC6C66"/>
    <w:multiLevelType w:val="hybridMultilevel"/>
    <w:tmpl w:val="94306A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36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30A9"/>
    <w:rsid w:val="00032550"/>
    <w:rsid w:val="00090A06"/>
    <w:rsid w:val="0009292F"/>
    <w:rsid w:val="000A62F1"/>
    <w:rsid w:val="000B55B7"/>
    <w:rsid w:val="00105E31"/>
    <w:rsid w:val="00112A97"/>
    <w:rsid w:val="00121080"/>
    <w:rsid w:val="00180382"/>
    <w:rsid w:val="001A26F9"/>
    <w:rsid w:val="001C10EF"/>
    <w:rsid w:val="001D1A0B"/>
    <w:rsid w:val="002569C3"/>
    <w:rsid w:val="00361FF7"/>
    <w:rsid w:val="003A5669"/>
    <w:rsid w:val="003C4992"/>
    <w:rsid w:val="00402E47"/>
    <w:rsid w:val="004C214F"/>
    <w:rsid w:val="004F38A7"/>
    <w:rsid w:val="00500D46"/>
    <w:rsid w:val="00515EB8"/>
    <w:rsid w:val="005352D4"/>
    <w:rsid w:val="005B4AFA"/>
    <w:rsid w:val="005E7F00"/>
    <w:rsid w:val="005F5DF4"/>
    <w:rsid w:val="00633EA9"/>
    <w:rsid w:val="0068297D"/>
    <w:rsid w:val="006F3DFF"/>
    <w:rsid w:val="006F3EE9"/>
    <w:rsid w:val="00742DEF"/>
    <w:rsid w:val="0076586D"/>
    <w:rsid w:val="007B7020"/>
    <w:rsid w:val="008011A6"/>
    <w:rsid w:val="008830A9"/>
    <w:rsid w:val="008915EE"/>
    <w:rsid w:val="008E3AD8"/>
    <w:rsid w:val="009433D6"/>
    <w:rsid w:val="00A24EBA"/>
    <w:rsid w:val="00A30C68"/>
    <w:rsid w:val="00A56075"/>
    <w:rsid w:val="00B7194A"/>
    <w:rsid w:val="00B91B7A"/>
    <w:rsid w:val="00BB10EA"/>
    <w:rsid w:val="00BB1831"/>
    <w:rsid w:val="00BB67A0"/>
    <w:rsid w:val="00BC32AD"/>
    <w:rsid w:val="00BF775F"/>
    <w:rsid w:val="00C03F98"/>
    <w:rsid w:val="00CE4B90"/>
    <w:rsid w:val="00D21CA3"/>
    <w:rsid w:val="00D827EB"/>
    <w:rsid w:val="00DF418E"/>
    <w:rsid w:val="00EE2A1B"/>
    <w:rsid w:val="00F101B0"/>
    <w:rsid w:val="00F145A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A62F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A62F1"/>
    <w:rPr>
      <w:sz w:val="20"/>
      <w:szCs w:val="20"/>
    </w:rPr>
  </w:style>
  <w:style w:type="character" w:styleId="FootnoteReference">
    <w:name w:val="footnote reference"/>
    <w:basedOn w:val="DefaultParagraphFont"/>
    <w:uiPriority w:val="99"/>
    <w:semiHidden/>
    <w:unhideWhenUsed/>
    <w:rsid w:val="000A62F1"/>
    <w:rPr>
      <w:vertAlign w:val="superscript"/>
    </w:rPr>
  </w:style>
  <w:style w:type="paragraph" w:styleId="ListParagraph">
    <w:name w:val="List Paragraph"/>
    <w:basedOn w:val="Normal"/>
    <w:uiPriority w:val="34"/>
    <w:qFormat/>
    <w:rsid w:val="006F3DFF"/>
    <w:pPr>
      <w:ind w:left="720"/>
      <w:contextualSpacing/>
    </w:pPr>
  </w:style>
  <w:style w:type="character" w:styleId="Hyperlink">
    <w:name w:val="Hyperlink"/>
    <w:basedOn w:val="DefaultParagraphFont"/>
    <w:uiPriority w:val="99"/>
    <w:unhideWhenUsed/>
    <w:rsid w:val="00180382"/>
    <w:rPr>
      <w:color w:val="0000FF" w:themeColor="hyperlink"/>
      <w:u w:val="single"/>
    </w:rPr>
  </w:style>
  <w:style w:type="paragraph" w:styleId="Header">
    <w:name w:val="header"/>
    <w:basedOn w:val="Normal"/>
    <w:link w:val="HeaderChar"/>
    <w:uiPriority w:val="99"/>
    <w:unhideWhenUsed/>
    <w:rsid w:val="009433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33D6"/>
  </w:style>
  <w:style w:type="paragraph" w:styleId="Footer">
    <w:name w:val="footer"/>
    <w:basedOn w:val="Normal"/>
    <w:link w:val="FooterChar"/>
    <w:uiPriority w:val="99"/>
    <w:unhideWhenUsed/>
    <w:rsid w:val="009433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33D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A62F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A62F1"/>
    <w:rPr>
      <w:sz w:val="20"/>
      <w:szCs w:val="20"/>
    </w:rPr>
  </w:style>
  <w:style w:type="character" w:styleId="FootnoteReference">
    <w:name w:val="footnote reference"/>
    <w:basedOn w:val="DefaultParagraphFont"/>
    <w:uiPriority w:val="99"/>
    <w:semiHidden/>
    <w:unhideWhenUsed/>
    <w:rsid w:val="000A62F1"/>
    <w:rPr>
      <w:vertAlign w:val="superscript"/>
    </w:rPr>
  </w:style>
  <w:style w:type="paragraph" w:styleId="ListParagraph">
    <w:name w:val="List Paragraph"/>
    <w:basedOn w:val="Normal"/>
    <w:uiPriority w:val="34"/>
    <w:qFormat/>
    <w:rsid w:val="006F3DFF"/>
    <w:pPr>
      <w:ind w:left="720"/>
      <w:contextualSpacing/>
    </w:pPr>
  </w:style>
  <w:style w:type="character" w:styleId="Hyperlink">
    <w:name w:val="Hyperlink"/>
    <w:basedOn w:val="DefaultParagraphFont"/>
    <w:uiPriority w:val="99"/>
    <w:unhideWhenUsed/>
    <w:rsid w:val="00180382"/>
    <w:rPr>
      <w:color w:val="0000FF" w:themeColor="hyperlink"/>
      <w:u w:val="single"/>
    </w:rPr>
  </w:style>
  <w:style w:type="paragraph" w:styleId="Header">
    <w:name w:val="header"/>
    <w:basedOn w:val="Normal"/>
    <w:link w:val="HeaderChar"/>
    <w:uiPriority w:val="99"/>
    <w:unhideWhenUsed/>
    <w:rsid w:val="009433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33D6"/>
  </w:style>
  <w:style w:type="paragraph" w:styleId="Footer">
    <w:name w:val="footer"/>
    <w:basedOn w:val="Normal"/>
    <w:link w:val="FooterChar"/>
    <w:uiPriority w:val="99"/>
    <w:unhideWhenUsed/>
    <w:rsid w:val="009433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33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ntdan.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0CFE7-EBCC-451D-8463-658FE97C90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1776</TotalTime>
  <Pages>4</Pages>
  <Words>1500</Words>
  <Characters>8550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Dan</cp:lastModifiedBy>
  <cp:revision>11</cp:revision>
  <dcterms:created xsi:type="dcterms:W3CDTF">2011-02-02T14:51:00Z</dcterms:created>
  <dcterms:modified xsi:type="dcterms:W3CDTF">2011-02-04T13:17:00Z</dcterms:modified>
</cp:coreProperties>
</file>